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651F" w14:textId="77777777" w:rsidR="00700D49" w:rsidRDefault="00700D49">
      <w:r>
        <w:t>《群書治要３６Ｏ》第二冊</w:t>
      </w:r>
      <w:r>
        <w:t>—</w:t>
      </w:r>
      <w:r>
        <w:t xml:space="preserve">禮至則不爭　　悟道法師主講　　（第二五九集）　　</w:t>
      </w:r>
      <w:r>
        <w:t>2022/5/29</w:t>
      </w:r>
      <w:r>
        <w:t xml:space="preserve">　　華藏淨宗學會　　檔名：</w:t>
      </w:r>
      <w:r>
        <w:t xml:space="preserve">WD20-054-0259 </w:t>
      </w:r>
    </w:p>
    <w:p w14:paraId="43A406AA" w14:textId="77777777" w:rsidR="00700D49" w:rsidRDefault="00700D49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06A08EA3" w14:textId="77777777" w:rsidR="00700D49" w:rsidRDefault="00700D49">
      <w:pPr>
        <w:pStyle w:val="a3"/>
      </w:pPr>
      <w:r>
        <w:t xml:space="preserve">　　【二五九、樂至則無怨，禮至則不爭。揖讓而治天下者，禮樂之謂也。】</w:t>
      </w:r>
      <w:r>
        <w:t xml:space="preserve"> </w:t>
      </w:r>
    </w:p>
    <w:p w14:paraId="588CC5C0" w14:textId="77777777" w:rsidR="00700D49" w:rsidRDefault="00700D49">
      <w:pPr>
        <w:pStyle w:val="a3"/>
      </w:pPr>
      <w:r>
        <w:t xml:space="preserve">　　這一條出自於卷七，《禮記》。</w:t>
      </w:r>
      <w:r>
        <w:t xml:space="preserve"> </w:t>
      </w:r>
    </w:p>
    <w:p w14:paraId="2B8B3BFB" w14:textId="77777777" w:rsidR="00700D49" w:rsidRDefault="00700D49">
      <w:pPr>
        <w:pStyle w:val="a3"/>
      </w:pPr>
      <w:r>
        <w:t xml:space="preserve">　　「樂教通行則人人心情舒暢而無怨恨」，這是講樂，禮樂。聖人制禮作樂，聖人制的這個樂是可以調劑人的心情，我們人的心情有喜怒哀樂愛惡欲，人有七情五欲，用樂來調理，讓心情舒暢，內心沒有怨恨，這是用樂來調適自己的心情。禮樂如果通行，全國的人，人人心情都沒有怨恨，都能夠舒暢。有一些事情透過這個樂可以得到調理，不會怨恨在心裡，能夠抒發情緒，這是樂它的功能、作用。「禮教通行則人人心存謙讓而無衝突。」所以中國政治它是以禮治，以禮樂來治天下，樂來調心，禮來調身，讓我們人與人之間都能夠謙恭禮讓，社會就和諧了，人與人就不會有衝突，國與國也能夠相安無事，能達到世界和平。「君王只要拱手揖讓之間，天下就可以無為而治」，做一個領導人，帶頭來實行禮樂，君王帶頭來做，帶頭做再拱手揖讓這樣的一個表現，就可以讓天下無為而治，「說的就是用禮與樂來治理天下」。用禮樂治理天下，天下就太平了，這是禮樂的功能。所以政治最圓滿的是以禮樂來治理天下，人人都能夠心安理得。</w:t>
      </w:r>
      <w:r>
        <w:t xml:space="preserve"> </w:t>
      </w:r>
    </w:p>
    <w:p w14:paraId="1788CEDF" w14:textId="77777777" w:rsidR="00700D49" w:rsidRDefault="00700D49">
      <w:pPr>
        <w:pStyle w:val="a3"/>
      </w:pPr>
      <w:r>
        <w:t xml:space="preserve">　　好，這一條我們就學習到這裡。祝大家福慧增長，法喜充滿。阿彌陀佛！　　</w:t>
      </w:r>
    </w:p>
    <w:sectPr w:rsidR="00700D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2DB8" w14:textId="77777777" w:rsidR="00700D49" w:rsidRDefault="00700D49" w:rsidP="0077785C">
      <w:r>
        <w:separator/>
      </w:r>
    </w:p>
  </w:endnote>
  <w:endnote w:type="continuationSeparator" w:id="0">
    <w:p w14:paraId="62859A10" w14:textId="77777777" w:rsidR="00700D49" w:rsidRDefault="00700D49" w:rsidP="00777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E5188" w14:textId="77777777" w:rsidR="00700D49" w:rsidRDefault="00700D49" w:rsidP="0077785C">
      <w:r>
        <w:separator/>
      </w:r>
    </w:p>
  </w:footnote>
  <w:footnote w:type="continuationSeparator" w:id="0">
    <w:p w14:paraId="5293A9E9" w14:textId="77777777" w:rsidR="00700D49" w:rsidRDefault="00700D49" w:rsidP="00777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5C"/>
    <w:rsid w:val="00700D49"/>
    <w:rsid w:val="0077785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455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8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8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8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8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