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AEE7" w14:textId="77777777" w:rsidR="003D5CFD" w:rsidRDefault="003D5CFD">
      <w:r>
        <w:t>《群書治要３６Ｏ》第二冊</w:t>
      </w:r>
      <w:r>
        <w:t>—</w:t>
      </w:r>
      <w:r>
        <w:t xml:space="preserve">政令勿違逆人心　　悟道法師主講　　（第二九五集）　　</w:t>
      </w:r>
      <w:r>
        <w:t>2022/7/4</w:t>
      </w:r>
      <w:r>
        <w:t xml:space="preserve">　　華藏淨宗學會　　檔名：</w:t>
      </w:r>
      <w:r>
        <w:t xml:space="preserve">WD20-054-0295 </w:t>
      </w:r>
    </w:p>
    <w:p w14:paraId="26A6B028" w14:textId="77777777" w:rsidR="003D5CFD" w:rsidRDefault="003D5CFD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63C0B902" w14:textId="77777777" w:rsidR="003D5CFD" w:rsidRDefault="003D5CFD">
      <w:pPr>
        <w:pStyle w:val="a3"/>
      </w:pPr>
      <w:r>
        <w:t xml:space="preserve">　　【二九五、一令逆者，則百令失；一惡施者，則百惡結。】</w:t>
      </w:r>
      <w:r>
        <w:t xml:space="preserve"> </w:t>
      </w:r>
    </w:p>
    <w:p w14:paraId="738670B1" w14:textId="77777777" w:rsidR="003D5CFD" w:rsidRDefault="003D5CFD">
      <w:pPr>
        <w:pStyle w:val="a3"/>
      </w:pPr>
      <w:r>
        <w:t xml:space="preserve">　　這一條出自於卷四十，《三略》。</w:t>
      </w:r>
      <w:r>
        <w:t xml:space="preserve"> </w:t>
      </w:r>
    </w:p>
    <w:p w14:paraId="079E36E2" w14:textId="77777777" w:rsidR="003D5CFD" w:rsidRDefault="003D5CFD">
      <w:pPr>
        <w:pStyle w:val="a3"/>
      </w:pPr>
      <w:r>
        <w:t xml:space="preserve">　　「一項政令違逆人心」，就是一個政策、法令如果違逆人心，「所有的政令就都會失去作用；一件壞事施行了，上百件壞事就會接連發生」，這也就是我們平常講的連鎖反應。所以施行政令要很謹慎，政令不能違逆人心。如果一個政令施行出來是違逆人心的政令，那其他所有的政令，都會失去它的作用。一件壞事你去實行了，跟著很多壞事接二連三的，也跟著發生了。這個上百件是形容，形容很多。所以政令的施行要謹慎，不能有錯誤的政策法令，錯誤的政策法令一旦施行，那後續很多不好的事情都會一直跟著發生，其他的法令也就形同虛設，失去作用。</w:t>
      </w:r>
      <w:r>
        <w:t xml:space="preserve"> </w:t>
      </w:r>
    </w:p>
    <w:p w14:paraId="5BAC23E3" w14:textId="77777777" w:rsidR="003D5CFD" w:rsidRDefault="003D5CFD">
      <w:pPr>
        <w:pStyle w:val="a3"/>
      </w:pPr>
      <w:r>
        <w:t xml:space="preserve">　　好，這一條我們就學習到這裡。祝大家福慧增長，法喜充滿。阿彌陀佛！　　</w:t>
      </w:r>
    </w:p>
    <w:sectPr w:rsidR="003D5C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CEAFC" w14:textId="77777777" w:rsidR="003D5CFD" w:rsidRDefault="003D5CFD" w:rsidP="00F4731B">
      <w:r>
        <w:separator/>
      </w:r>
    </w:p>
  </w:endnote>
  <w:endnote w:type="continuationSeparator" w:id="0">
    <w:p w14:paraId="508F03FC" w14:textId="77777777" w:rsidR="003D5CFD" w:rsidRDefault="003D5CFD" w:rsidP="00F47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527D" w14:textId="77777777" w:rsidR="003D5CFD" w:rsidRDefault="003D5CFD" w:rsidP="00F4731B">
      <w:r>
        <w:separator/>
      </w:r>
    </w:p>
  </w:footnote>
  <w:footnote w:type="continuationSeparator" w:id="0">
    <w:p w14:paraId="42958860" w14:textId="77777777" w:rsidR="003D5CFD" w:rsidRDefault="003D5CFD" w:rsidP="00F47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1B"/>
    <w:rsid w:val="003D5CFD"/>
    <w:rsid w:val="007931EE"/>
    <w:rsid w:val="00F4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8FE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