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7CAA" w14:textId="77777777" w:rsidR="002A75E6" w:rsidRDefault="002A75E6">
      <w:r>
        <w:t>《群書治要３６Ｏ》第二冊</w:t>
      </w:r>
      <w:r>
        <w:t>—</w:t>
      </w:r>
      <w:r>
        <w:t xml:space="preserve">不戰而勝為上善　　悟道法師主講　　（第二九八集）　　</w:t>
      </w:r>
      <w:r>
        <w:t>2022/7/7</w:t>
      </w:r>
      <w:r>
        <w:t xml:space="preserve">　　華藏淨宗學會　　檔名：</w:t>
      </w:r>
      <w:r>
        <w:t xml:space="preserve">WD20-054-0298 </w:t>
      </w:r>
    </w:p>
    <w:p w14:paraId="5DEC6524" w14:textId="77777777" w:rsidR="002A75E6" w:rsidRDefault="002A75E6">
      <w:pPr>
        <w:pStyle w:val="a3"/>
      </w:pPr>
      <w:r>
        <w:t xml:space="preserve">　　諸位同學，大家好！我們繼續來學習《群書治要３６Ｏ》第二冊，第四單元「為政」，十三、「征伐」。</w:t>
      </w:r>
      <w:r>
        <w:t xml:space="preserve"> </w:t>
      </w:r>
    </w:p>
    <w:p w14:paraId="50F0F8C2" w14:textId="77777777" w:rsidR="002A75E6" w:rsidRDefault="002A75E6">
      <w:pPr>
        <w:pStyle w:val="a3"/>
      </w:pPr>
      <w:r>
        <w:t xml:space="preserve">　　【二九八、是故百戰百勝，非善之善者也；不戰而屈人之兵，善之善者也。】</w:t>
      </w:r>
      <w:r>
        <w:t xml:space="preserve"> </w:t>
      </w:r>
    </w:p>
    <w:p w14:paraId="47840CC8" w14:textId="77777777" w:rsidR="002A75E6" w:rsidRDefault="002A75E6">
      <w:pPr>
        <w:pStyle w:val="a3"/>
      </w:pPr>
      <w:r>
        <w:t xml:space="preserve">　　這一條出自於卷三十三，《孫子兵法》。</w:t>
      </w:r>
      <w:r>
        <w:t xml:space="preserve"> </w:t>
      </w:r>
    </w:p>
    <w:p w14:paraId="2FEB3A7C" w14:textId="77777777" w:rsidR="002A75E6" w:rsidRDefault="002A75E6">
      <w:pPr>
        <w:pStyle w:val="a3"/>
      </w:pPr>
      <w:r>
        <w:t xml:space="preserve">　　我國《孫子兵法》是世界有名的，一直到現在世界各國都還在學習《孫子兵法》。這一條講，『是故百戰百勝』，「百戰百勝」這是形容每一次打仗都打勝仗；『非善之善者也』，雖然你每一次打仗都打勝了，打仗就是戰爭，動用武力，雖然每一次打仗都打勝利，「稱不上是最高明的」，不是最好的。『不戰而屈人之兵』，就是說沒有交戰而使敵人的軍隊降服，「才是高明中最高明的」，所以是『善之善者也』。不用交戰，但是對方敵兵他就降服了，這個叫不戰而屈人之兵，這個是最高明的，這個也是《孫子兵法》最高的一個指導，這個是最好的。所以這一條，當國家領導人，要善用以不戰而屈人之兵。戰爭是不得已的，打勝仗、打敗仗，實在講戰爭沒有贏家，是兩方面都要損失，都是輸家，不是雙贏是雙輸，如果能不戰而屈人之兵當然是最好的。</w:t>
      </w:r>
      <w:r>
        <w:t xml:space="preserve"> </w:t>
      </w:r>
    </w:p>
    <w:p w14:paraId="6E2F7B1D" w14:textId="77777777" w:rsidR="002A75E6" w:rsidRDefault="002A75E6">
      <w:pPr>
        <w:pStyle w:val="a3"/>
      </w:pPr>
      <w:r>
        <w:t xml:space="preserve">　　好，這一條我們就學習到這裡。祝大家福慧增長，法喜充滿。阿彌陀佛！　　</w:t>
      </w:r>
    </w:p>
    <w:sectPr w:rsidR="002A75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ADF1" w14:textId="77777777" w:rsidR="002A75E6" w:rsidRDefault="002A75E6" w:rsidP="00AE5769">
      <w:r>
        <w:separator/>
      </w:r>
    </w:p>
  </w:endnote>
  <w:endnote w:type="continuationSeparator" w:id="0">
    <w:p w14:paraId="6ED81CA6" w14:textId="77777777" w:rsidR="002A75E6" w:rsidRDefault="002A75E6" w:rsidP="00AE5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61BD" w14:textId="77777777" w:rsidR="002A75E6" w:rsidRDefault="002A75E6" w:rsidP="00AE5769">
      <w:r>
        <w:separator/>
      </w:r>
    </w:p>
  </w:footnote>
  <w:footnote w:type="continuationSeparator" w:id="0">
    <w:p w14:paraId="6CE50C3A" w14:textId="77777777" w:rsidR="002A75E6" w:rsidRDefault="002A75E6" w:rsidP="00AE5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69"/>
    <w:rsid w:val="002A75E6"/>
    <w:rsid w:val="007931EE"/>
    <w:rsid w:val="00AE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858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7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7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7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7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