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32B1" w14:textId="77777777" w:rsidR="00174423" w:rsidRDefault="00174423">
      <w:r>
        <w:t>《群書治要３６Ｏ》第三冊</w:t>
      </w:r>
      <w:r>
        <w:t>—</w:t>
      </w:r>
      <w:r>
        <w:t xml:space="preserve">治國的關鍵　　悟道法師主講　　（第四十集）　　</w:t>
      </w:r>
      <w:r>
        <w:t>2022/10/17</w:t>
      </w:r>
      <w:r>
        <w:t xml:space="preserve">　　華藏淨宗學會　　檔名：</w:t>
      </w:r>
      <w:r>
        <w:t xml:space="preserve">WD20-057-0040 </w:t>
      </w:r>
    </w:p>
    <w:p w14:paraId="2E5C8053" w14:textId="77777777" w:rsidR="00174423" w:rsidRDefault="00174423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2DB3C9B1" w14:textId="77777777" w:rsidR="00174423" w:rsidRDefault="00174423">
      <w:pPr>
        <w:pStyle w:val="a3"/>
      </w:pPr>
      <w:r>
        <w:t xml:space="preserve">　　【四十、語曰：「世有亂人，而無亂法。」若使法可專任，則唐、虞可不須稷、契之佐，殷、周無貴伊、呂之輔矣。】</w:t>
      </w:r>
      <w:r>
        <w:t xml:space="preserve"> </w:t>
      </w:r>
    </w:p>
    <w:p w14:paraId="654D6776" w14:textId="77777777" w:rsidR="00174423" w:rsidRDefault="00174423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658703BD" w14:textId="77777777" w:rsidR="00174423" w:rsidRDefault="00174423">
      <w:pPr>
        <w:pStyle w:val="a3"/>
      </w:pPr>
      <w:r>
        <w:t xml:space="preserve">　　『亂』是治理的意思。『稷』是唐、虞時代的賢臣。稷，又稱為「后稷」，周之先祖，周朝的祖先。虞舜命為農官，教人民耕種，這是后稷。『契』，這個地方念「謝」，是人的名字，傳說中商的祖先，為帝嚳之子。在舜的時候輔佐大禹治水有功，當時在夏朝大禹那個時候任為司徒，封於商。任為司徒就是任他做司徒這個官位，封地在商這個地方，賜他的姓是子氏。『伊』是指「伊尹」，商湯的大臣，他的名叫伊，尹是官名，輔助成湯征伐夏桀。</w:t>
      </w:r>
      <w:r>
        <w:t xml:space="preserve"> </w:t>
      </w:r>
    </w:p>
    <w:p w14:paraId="07A75CC1" w14:textId="77777777" w:rsidR="00174423" w:rsidRDefault="00174423">
      <w:pPr>
        <w:pStyle w:val="a3"/>
      </w:pPr>
      <w:r>
        <w:t xml:space="preserve">　　這一條講，「俗話說：世上有能治理好國家的人才，卻沒有能脫離人的實施而自動治理好國家的法令制度。如果治理國家可以只依靠法令的話，那麼唐堯、虞舜也就用不著稷、契的輔佐，商王、周王也就不必重視伊尹、呂尚的輔助了」。這一條主要講法令、規章還是要好的人，才能夠治理好一個國家。不是說好的法令制度，它就能治理好一個國家，好的法令制度如果沒有好人去執行，被壞人去執政，他會把好的變成壞的；不好的制度，好人來執政，好人會給它改善，變成好的。所以關鍵在人，法令制度那是其次，主要是人。所以這一條講，只要有真正的好人、人才來幫助治理國家，這個國家才能治理得好，而不是定的什麼樣的制度、法令規章就能把國家治理好；如果沒有好人，法令制度怎麼定，國家都治理不好。關鍵在人，不是在法。</w:t>
      </w:r>
      <w:r>
        <w:t xml:space="preserve"> </w:t>
      </w:r>
    </w:p>
    <w:p w14:paraId="3A9E0B97" w14:textId="77777777" w:rsidR="00174423" w:rsidRDefault="00174423">
      <w:pPr>
        <w:pStyle w:val="a3"/>
      </w:pPr>
      <w:r>
        <w:t xml:space="preserve">　　好，這一條我們就學習到這裡。祝大家福慧增長，法喜充滿。阿彌陀佛！　　</w:t>
      </w:r>
    </w:p>
    <w:sectPr w:rsidR="00174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D0D4" w14:textId="77777777" w:rsidR="00174423" w:rsidRDefault="00174423" w:rsidP="00661B3A">
      <w:r>
        <w:separator/>
      </w:r>
    </w:p>
  </w:endnote>
  <w:endnote w:type="continuationSeparator" w:id="0">
    <w:p w14:paraId="490FF074" w14:textId="77777777" w:rsidR="00174423" w:rsidRDefault="00174423" w:rsidP="00661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C7F1" w14:textId="77777777" w:rsidR="00174423" w:rsidRDefault="00174423" w:rsidP="00661B3A">
      <w:r>
        <w:separator/>
      </w:r>
    </w:p>
  </w:footnote>
  <w:footnote w:type="continuationSeparator" w:id="0">
    <w:p w14:paraId="4893C0B3" w14:textId="77777777" w:rsidR="00174423" w:rsidRDefault="00174423" w:rsidP="00661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3A"/>
    <w:rsid w:val="00174423"/>
    <w:rsid w:val="00661B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E00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