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6038" w14:textId="77777777" w:rsidR="008E5CE1" w:rsidRDefault="008E5CE1">
      <w:r>
        <w:t>《群書治要３６Ｏ》第三冊</w:t>
      </w:r>
      <w:r>
        <w:t>—</w:t>
      </w:r>
      <w:r>
        <w:t xml:space="preserve">上下不和，雖安必危　　悟道法師主講　　（第六十五集）　　</w:t>
      </w:r>
      <w:r>
        <w:t>2022/11/11</w:t>
      </w:r>
      <w:r>
        <w:t xml:space="preserve">　　華藏淨宗學會　　檔名：</w:t>
      </w:r>
      <w:r>
        <w:t xml:space="preserve">WD20-057-0065 </w:t>
      </w:r>
    </w:p>
    <w:p w14:paraId="23C719D7" w14:textId="77777777" w:rsidR="008E5CE1" w:rsidRDefault="008E5CE1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28370A40" w14:textId="77777777" w:rsidR="008E5CE1" w:rsidRDefault="008E5CE1">
      <w:pPr>
        <w:pStyle w:val="a3"/>
      </w:pPr>
      <w:r>
        <w:t xml:space="preserve">　　【六十五、上下離而不和，故雖自安，必且危之。故曰：上下不和，雖安必危。】</w:t>
      </w:r>
      <w:r>
        <w:t xml:space="preserve"> </w:t>
      </w:r>
    </w:p>
    <w:p w14:paraId="6290F51E" w14:textId="77777777" w:rsidR="008E5CE1" w:rsidRDefault="008E5CE1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6E185EC1" w14:textId="77777777" w:rsidR="008E5CE1" w:rsidRDefault="008E5CE1">
      <w:pPr>
        <w:pStyle w:val="a3"/>
      </w:pPr>
      <w:r>
        <w:t xml:space="preserve">　　這一條講，「臣下不親近他們的國君，百姓不相信他們的官吏，上下離心不相和睦，雖然自認為安定，也必將走向危亡。所以說：上下不和，雖一時安定，也必將危亡。」這一條講的主要要和，所謂家和萬事興，上面的領導跟下面被領導的如果不和諧，人民百姓不相信上面的官吏，不相信他們，上下離心不和睦，這樣雖然自己認為安定，最後也必定會走向危險滅亡。『上下不和』，雖然一時安定，但是時間也不會長久，必定走向危機滅亡，所以和非常重要。現在提倡和諧社會，上下要和，人民對政府要有信心，政府要真正為人民服務，這樣上下和睦讓人民生活安定，安居樂業，這個國家才會興旺。一個企業、一個家庭同樣一個道理，和它就興旺，不和必定走向敗亡。</w:t>
      </w:r>
      <w:r>
        <w:t xml:space="preserve"> </w:t>
      </w:r>
    </w:p>
    <w:p w14:paraId="37F810AB" w14:textId="77777777" w:rsidR="008E5CE1" w:rsidRDefault="008E5CE1">
      <w:pPr>
        <w:pStyle w:val="a3"/>
      </w:pPr>
      <w:r>
        <w:t xml:space="preserve">　　好，這一條我們就學習到這裡。祝大家福慧增長，法喜充滿。阿彌陀佛！　　</w:t>
      </w:r>
    </w:p>
    <w:sectPr w:rsidR="008E5C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A1882" w14:textId="77777777" w:rsidR="008E5CE1" w:rsidRDefault="008E5CE1" w:rsidP="00211D06">
      <w:r>
        <w:separator/>
      </w:r>
    </w:p>
  </w:endnote>
  <w:endnote w:type="continuationSeparator" w:id="0">
    <w:p w14:paraId="087A7328" w14:textId="77777777" w:rsidR="008E5CE1" w:rsidRDefault="008E5CE1" w:rsidP="00211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0B71" w14:textId="77777777" w:rsidR="008E5CE1" w:rsidRDefault="008E5CE1" w:rsidP="00211D06">
      <w:r>
        <w:separator/>
      </w:r>
    </w:p>
  </w:footnote>
  <w:footnote w:type="continuationSeparator" w:id="0">
    <w:p w14:paraId="59A066B5" w14:textId="77777777" w:rsidR="008E5CE1" w:rsidRDefault="008E5CE1" w:rsidP="00211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06"/>
    <w:rsid w:val="00211D06"/>
    <w:rsid w:val="007931EE"/>
    <w:rsid w:val="008E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611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D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D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D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D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