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F887" w14:textId="77777777" w:rsidR="00C02F46" w:rsidRDefault="00C02F46">
      <w:r>
        <w:t>《群書治要３６Ｏ》第三冊</w:t>
      </w:r>
      <w:r>
        <w:t>—</w:t>
      </w:r>
      <w:r>
        <w:t xml:space="preserve">依循事理　　悟道法師主講　　（第九十七集）　　</w:t>
      </w:r>
      <w:r>
        <w:t>2022/12/13</w:t>
      </w:r>
      <w:r>
        <w:t xml:space="preserve">　　華藏淨宗學會　　檔名：</w:t>
      </w:r>
      <w:r>
        <w:t xml:space="preserve">WD20-057-0097 </w:t>
      </w:r>
    </w:p>
    <w:p w14:paraId="2AC346A9" w14:textId="77777777" w:rsidR="00C02F46" w:rsidRDefault="00C02F46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207A7F5D" w14:textId="77777777" w:rsidR="00C02F46" w:rsidRDefault="00C02F46">
      <w:pPr>
        <w:pStyle w:val="a3"/>
      </w:pPr>
      <w:r>
        <w:t xml:space="preserve">　　【九十七、人之情，欲壽而惡夭，欲安而惡危，欲榮而惡辱，欲逸而惡勞。四欲得，四惡除，則心適矣。四欲之得也，在於勝理；勝理以治身，則生全矣，生全則壽長矣。勝理以治國，則法立矣，法立則天下服。故適心之務，在勝理。】</w:t>
      </w:r>
      <w:r>
        <w:t xml:space="preserve"> </w:t>
      </w:r>
    </w:p>
    <w:p w14:paraId="1674CE95" w14:textId="77777777" w:rsidR="00C02F46" w:rsidRDefault="00C02F46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1A25DBA9" w14:textId="77777777" w:rsidR="00C02F46" w:rsidRDefault="00C02F46">
      <w:pPr>
        <w:pStyle w:val="a3"/>
      </w:pPr>
      <w:r>
        <w:t xml:space="preserve">　　『勝理』是依循事理。「勝」等於任，就是憑依、依據的意思。『生全』是保全生命。</w:t>
      </w:r>
      <w:r>
        <w:t xml:space="preserve"> </w:t>
      </w:r>
    </w:p>
    <w:p w14:paraId="39689858" w14:textId="77777777" w:rsidR="00C02F46" w:rsidRDefault="00C02F46">
      <w:pPr>
        <w:pStyle w:val="a3"/>
      </w:pPr>
      <w:r>
        <w:t xml:space="preserve">　　這一條講，「人的常情都是希望長壽而厭惡夭折」，這是人之常情，「希望平安而厭惡危險，希望榮耀而厭惡屈辱，希望安逸而厭惡勞累。以上四種願望能實現，四種厭惡能消除，心情就會安適了。四種願望的實現，在於依循事理；依循事理來修身養性，生命的本性就得以保全；生命的本性得以保全，那就能享有長壽了。依據事理來治理國家，那麼法度就能建立起來；建立了法度，則天下之人就會順服。所以使心情安適的關鍵在於依循事理。」不能違背事理，不能違背常道來做事，事情應該怎麼辦就怎麼辦，要依事理來做事，四欲就可以得到了。</w:t>
      </w:r>
      <w:r>
        <w:t xml:space="preserve"> </w:t>
      </w:r>
    </w:p>
    <w:p w14:paraId="7CA9396A" w14:textId="77777777" w:rsidR="00C02F46" w:rsidRDefault="00C02F46">
      <w:pPr>
        <w:pStyle w:val="a3"/>
      </w:pPr>
      <w:r>
        <w:t xml:space="preserve">　　好，這一條我們就學習到這裡。祝大家福慧增長，法喜充滿。阿彌陀佛！　　</w:t>
      </w:r>
    </w:p>
    <w:sectPr w:rsidR="00C02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73B7" w14:textId="77777777" w:rsidR="00C02F46" w:rsidRDefault="00C02F46" w:rsidP="000C453F">
      <w:r>
        <w:separator/>
      </w:r>
    </w:p>
  </w:endnote>
  <w:endnote w:type="continuationSeparator" w:id="0">
    <w:p w14:paraId="619B7F65" w14:textId="77777777" w:rsidR="00C02F46" w:rsidRDefault="00C02F46" w:rsidP="000C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E5F4" w14:textId="77777777" w:rsidR="00C02F46" w:rsidRDefault="00C02F46" w:rsidP="000C453F">
      <w:r>
        <w:separator/>
      </w:r>
    </w:p>
  </w:footnote>
  <w:footnote w:type="continuationSeparator" w:id="0">
    <w:p w14:paraId="41A580DF" w14:textId="77777777" w:rsidR="00C02F46" w:rsidRDefault="00C02F46" w:rsidP="000C45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3F"/>
    <w:rsid w:val="000C453F"/>
    <w:rsid w:val="007931EE"/>
    <w:rsid w:val="00C0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3B9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5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5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5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5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