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A889" w14:textId="77777777" w:rsidR="001A759A" w:rsidRDefault="001A759A">
      <w:r>
        <w:t>《群書治要３６Ｏ》第三冊</w:t>
      </w:r>
      <w:r>
        <w:t>—</w:t>
      </w:r>
      <w:r>
        <w:t xml:space="preserve">居上位者要賢明　　悟道法師主講　　（第一七四集）　　</w:t>
      </w:r>
      <w:r>
        <w:t>2023/2/28</w:t>
      </w:r>
      <w:r>
        <w:t xml:space="preserve">　　華藏淨宗學會　　檔名：</w:t>
      </w:r>
      <w:r>
        <w:t xml:space="preserve">WD20-057-0174 </w:t>
      </w:r>
    </w:p>
    <w:p w14:paraId="02A13E61" w14:textId="77777777" w:rsidR="001A759A" w:rsidRDefault="001A759A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7EE2C1F6" w14:textId="77777777" w:rsidR="001A759A" w:rsidRDefault="001A759A">
      <w:pPr>
        <w:pStyle w:val="a3"/>
      </w:pPr>
      <w:r>
        <w:t xml:space="preserve">　　【一七四、明主在上位，則官不得枉法，吏不得為私。民知事吏之無益，故貨財不行於吏；權衡平正而待物，故姦詐之人，不得行其私。故曰：有權衡之稱者，不可欺以輕重也。】</w:t>
      </w:r>
      <w:r>
        <w:t xml:space="preserve"> </w:t>
      </w:r>
    </w:p>
    <w:p w14:paraId="5C37F972" w14:textId="77777777" w:rsidR="001A759A" w:rsidRDefault="001A759A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6A697DBA" w14:textId="77777777" w:rsidR="001A759A" w:rsidRDefault="001A759A">
      <w:pPr>
        <w:pStyle w:val="a3"/>
      </w:pPr>
      <w:r>
        <w:t xml:space="preserve">　　『權衡』是稱量物體輕重的器具；「權」就好像以前那個秤錘，「衡」是秤桿。</w:t>
      </w:r>
      <w:r>
        <w:t xml:space="preserve"> </w:t>
      </w:r>
    </w:p>
    <w:p w14:paraId="6C093750" w14:textId="77777777" w:rsidR="001A759A" w:rsidRDefault="001A759A">
      <w:pPr>
        <w:pStyle w:val="a3"/>
      </w:pPr>
      <w:r>
        <w:t xml:space="preserve">　　這一條講，「賢明的君主居於上位，官員就不能枉法，官吏就不能營私。百姓知道事奉官吏沒有利益，所以就不用財物去賄賂官吏。君主能做到像秤錘秤桿一樣公平正直的對待他人，那麼姦詐的人就不能營私舞弊了。所以說：有秤錘秤桿的稱量，就無法在輕重上欺騙人。」這一條主要就是說，做一個領導人，就要像秤錘一樣公平正直的對待他人，這樣才不會有營私舞弊的下屬。如果上面不能做到公平正直，下面的下屬他就會營私舞弊，政治就辦不好了。所以賢明的君主他居上位，官員他就不敢枉法，官吏也不能營私，人民也不需要去巴結這些官員，政治就清明了。</w:t>
      </w:r>
      <w:r>
        <w:t xml:space="preserve"> </w:t>
      </w:r>
    </w:p>
    <w:p w14:paraId="389BE3BC" w14:textId="77777777" w:rsidR="001A759A" w:rsidRDefault="001A759A">
      <w:pPr>
        <w:pStyle w:val="a3"/>
      </w:pPr>
      <w:r>
        <w:t xml:space="preserve">　　好，這一條我們就學習到這裡。祝大家福慧增長，法喜充滿。阿彌陀佛！　　</w:t>
      </w:r>
    </w:p>
    <w:sectPr w:rsidR="001A75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90E4" w14:textId="77777777" w:rsidR="001A759A" w:rsidRDefault="001A759A" w:rsidP="00DF56A1">
      <w:r>
        <w:separator/>
      </w:r>
    </w:p>
  </w:endnote>
  <w:endnote w:type="continuationSeparator" w:id="0">
    <w:p w14:paraId="2DC8E741" w14:textId="77777777" w:rsidR="001A759A" w:rsidRDefault="001A759A" w:rsidP="00DF5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5E6C" w14:textId="77777777" w:rsidR="001A759A" w:rsidRDefault="001A759A" w:rsidP="00DF56A1">
      <w:r>
        <w:separator/>
      </w:r>
    </w:p>
  </w:footnote>
  <w:footnote w:type="continuationSeparator" w:id="0">
    <w:p w14:paraId="75EFB231" w14:textId="77777777" w:rsidR="001A759A" w:rsidRDefault="001A759A" w:rsidP="00DF5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A1"/>
    <w:rsid w:val="001A759A"/>
    <w:rsid w:val="007931EE"/>
    <w:rsid w:val="00D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D54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