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327A4" w14:textId="77777777" w:rsidR="00E769AA" w:rsidRDefault="00E769AA">
      <w:r>
        <w:t>《群書治要３６Ｏ》第三冊</w:t>
      </w:r>
      <w:r>
        <w:t>—</w:t>
      </w:r>
      <w:r>
        <w:t xml:space="preserve">賢主用人的智慧　　悟道法師主講　　（第二一三集）　　</w:t>
      </w:r>
      <w:r>
        <w:t>2023/4/8</w:t>
      </w:r>
      <w:r>
        <w:t xml:space="preserve">　　華藏淨宗學會　　檔名：</w:t>
      </w:r>
      <w:r>
        <w:t xml:space="preserve">WD20-057-0213 </w:t>
      </w:r>
    </w:p>
    <w:p w14:paraId="6B04BA6F" w14:textId="77777777" w:rsidR="00E769AA" w:rsidRDefault="00E769AA">
      <w:pPr>
        <w:pStyle w:val="a3"/>
      </w:pPr>
      <w:r>
        <w:t xml:space="preserve">　　諸位同學，大家好！我們繼續來學習《群書治要３６Ｏ》第三冊，第四單元「為政」，四、「任使」。</w:t>
      </w:r>
      <w:r>
        <w:t xml:space="preserve"> </w:t>
      </w:r>
    </w:p>
    <w:p w14:paraId="2F7117D5" w14:textId="77777777" w:rsidR="00E769AA" w:rsidRDefault="00E769AA">
      <w:pPr>
        <w:pStyle w:val="a3"/>
      </w:pPr>
      <w:r>
        <w:t xml:space="preserve">　　【二一三、凡使賢不肖異。使不肖以賞罰，使賢以義。故賢主之使其下也，必以義，必審賞罰，然後賢不肖盡為用也。】</w:t>
      </w:r>
      <w:r>
        <w:t xml:space="preserve"> </w:t>
      </w:r>
    </w:p>
    <w:p w14:paraId="20AC0240" w14:textId="77777777" w:rsidR="00E769AA" w:rsidRDefault="00E769AA">
      <w:pPr>
        <w:pStyle w:val="a3"/>
      </w:pPr>
      <w:r>
        <w:t xml:space="preserve">　　這一條出自於卷三十九，《呂氏春秋》。</w:t>
      </w:r>
      <w:r>
        <w:t xml:space="preserve"> </w:t>
      </w:r>
    </w:p>
    <w:p w14:paraId="01DF09C0" w14:textId="77777777" w:rsidR="00E769AA" w:rsidRDefault="00E769AA">
      <w:pPr>
        <w:pStyle w:val="a3"/>
      </w:pPr>
      <w:r>
        <w:t xml:space="preserve">　　『不肖』就是不賢、不材的人。</w:t>
      </w:r>
      <w:r>
        <w:t xml:space="preserve"> </w:t>
      </w:r>
    </w:p>
    <w:p w14:paraId="6485BC93" w14:textId="77777777" w:rsidR="00E769AA" w:rsidRDefault="00E769AA">
      <w:pPr>
        <w:pStyle w:val="a3"/>
      </w:pPr>
      <w:r>
        <w:t xml:space="preserve">　　這一條講，「大凡任用賢德之人和不賢之人，方法不同」，這個『異』就是不同。方法不同，是對你任用一個賢德的人還有比較不賢德的人不一樣，要怎麼去用。「任用不賢之人依靠獎懲」，獎懲，就是不賢的人要用獎懲，獎就是獎賞，懲是懲罰，就是賞罰。這個是用在不賢之人的身上，對他有獎賞跟懲罰，他做對了、做好的就獎賞他來鼓勵；做錯了就要處罰，對他一個警惕。這是對不賢之人用的方法，用獎賞、懲罰。「任用賢德之人依靠道義」，賢德之人明理，跟他講道德仁義，賢德之人他也明白。所以用賢德之人是依仁義道德，不用獎懲，不用獎賞、懲罰。賢德之人他明白道理，所以用賢德之人跟他講仁義道德就可以；不賢之人跟他講仁義道德他不聽，他不能接受。賢德之人他能夠明瞭，他也能接受，所以任用賢德之人依靠道義就可以了，不用獎賞、懲罰。「所以賢明的君主任用臣下必定合乎道義，必定慎重地進行獎賞和懲罰，然後賢德之人和不賢之人都能為君主所用。」賢德之人能夠任用他，不賢的人也可以任用他，只是任用這個方法不一樣，這個也是我們大家都必須學習的地方。</w:t>
      </w:r>
      <w:r>
        <w:t xml:space="preserve"> </w:t>
      </w:r>
    </w:p>
    <w:p w14:paraId="79A04B96" w14:textId="77777777" w:rsidR="00E769AA" w:rsidRDefault="00E769AA">
      <w:pPr>
        <w:pStyle w:val="a3"/>
      </w:pPr>
      <w:r>
        <w:t xml:space="preserve">　　好，這一條我們就學習到這裡。祝大家福慧增長，法喜充滿。阿彌陀佛！　　</w:t>
      </w:r>
    </w:p>
    <w:sectPr w:rsidR="00E769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2FA43" w14:textId="77777777" w:rsidR="00E769AA" w:rsidRDefault="00E769AA" w:rsidP="00133E8E">
      <w:r>
        <w:separator/>
      </w:r>
    </w:p>
  </w:endnote>
  <w:endnote w:type="continuationSeparator" w:id="0">
    <w:p w14:paraId="726C76FC" w14:textId="77777777" w:rsidR="00E769AA" w:rsidRDefault="00E769AA" w:rsidP="00133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C615D" w14:textId="77777777" w:rsidR="00E769AA" w:rsidRDefault="00E769AA" w:rsidP="00133E8E">
      <w:r>
        <w:separator/>
      </w:r>
    </w:p>
  </w:footnote>
  <w:footnote w:type="continuationSeparator" w:id="0">
    <w:p w14:paraId="69E80985" w14:textId="77777777" w:rsidR="00E769AA" w:rsidRDefault="00E769AA" w:rsidP="00133E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8E"/>
    <w:rsid w:val="00133E8E"/>
    <w:rsid w:val="007931EE"/>
    <w:rsid w:val="00E7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CB0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3E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3E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3E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3E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