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3541" w14:textId="77777777" w:rsidR="002A06DB" w:rsidRDefault="002A06DB">
      <w:r>
        <w:t>《群書治要３６Ｏ》第三冊</w:t>
      </w:r>
      <w:r>
        <w:t>—</w:t>
      </w:r>
      <w:r>
        <w:t xml:space="preserve">先王立禮，有本有文　　悟道法師主講　　（第二五五集）　　</w:t>
      </w:r>
      <w:r>
        <w:t>2023/5/20</w:t>
      </w:r>
      <w:r>
        <w:t xml:space="preserve">　　華藏淨宗學會　　檔名：</w:t>
      </w:r>
      <w:r>
        <w:t xml:space="preserve">WD20-057-0255 </w:t>
      </w:r>
    </w:p>
    <w:p w14:paraId="5636A953" w14:textId="77777777" w:rsidR="002A06DB" w:rsidRDefault="002A06DB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0A0AA8AA" w14:textId="77777777" w:rsidR="002A06DB" w:rsidRDefault="002A06DB">
      <w:pPr>
        <w:pStyle w:val="a3"/>
      </w:pPr>
      <w:r>
        <w:t xml:space="preserve">　　【二五五、先王之立禮也，有本有文。忠信，禮之本；義理，禮之文。無本不立，無文不行。】</w:t>
      </w:r>
      <w:r>
        <w:t xml:space="preserve"> </w:t>
      </w:r>
    </w:p>
    <w:p w14:paraId="55F532E9" w14:textId="77777777" w:rsidR="002A06DB" w:rsidRDefault="002A06DB">
      <w:pPr>
        <w:pStyle w:val="a3"/>
      </w:pPr>
      <w:r>
        <w:t xml:space="preserve">　　這一條出自於卷七，《禮記》。</w:t>
      </w:r>
      <w:r>
        <w:t xml:space="preserve"> </w:t>
      </w:r>
    </w:p>
    <w:p w14:paraId="3AAEF47A" w14:textId="77777777" w:rsidR="002A06DB" w:rsidRDefault="002A06DB">
      <w:pPr>
        <w:pStyle w:val="a3"/>
      </w:pPr>
      <w:r>
        <w:t xml:space="preserve">　　「忠信，禮之本：孔穎達先生說：『忠者，內盡於心也；信者，外不欺於物也。內盡於心，故與物無怨；外不欺物，故與物相諧也。』」這是孔穎達先生解釋「忠信」的意思。『義理』：孔穎達先生解釋為「合宜得理」。</w:t>
      </w:r>
      <w:r>
        <w:t xml:space="preserve"> </w:t>
      </w:r>
    </w:p>
    <w:p w14:paraId="64E5D25F" w14:textId="77777777" w:rsidR="002A06DB" w:rsidRDefault="002A06DB">
      <w:pPr>
        <w:pStyle w:val="a3"/>
      </w:pPr>
      <w:r>
        <w:t xml:space="preserve">　　這一條講，「古聖先王創立的禮，既有根本精神，又有外在文飾（制定形式的原則）」。比如說衣服，什麼身分、什麼地位，穿什麼樣的衣服。什麼場合，衣食住行各方面，有制定形式的一個原則、一個準則，這是禮。古聖先王創立的禮，有內在的根本精神，也有外在的這些形式原則。「忠信，就是禮的根本精神」，禮根本的精神在忠信；「合宜得理，是禮的外在文飾」，外在的形式是合宜的。「沒有忠信這一根本精神，禮就無法成立；沒有合宜得理的形式，禮就無法在現實中推行。」所以外在的形式跟內在的精神都需要，缺一不可。所以「忠信，禮之本；義理，禮之文」，都需要。</w:t>
      </w:r>
      <w:r>
        <w:t xml:space="preserve"> </w:t>
      </w:r>
    </w:p>
    <w:p w14:paraId="5FC46F7C" w14:textId="77777777" w:rsidR="002A06DB" w:rsidRDefault="002A06DB">
      <w:pPr>
        <w:pStyle w:val="a3"/>
      </w:pPr>
      <w:r>
        <w:t xml:space="preserve">　　好，這一條我們就學習到這裡。祝大家福慧增長，法喜充滿。阿彌陀佛！　　</w:t>
      </w:r>
    </w:p>
    <w:sectPr w:rsidR="002A06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04F3" w14:textId="77777777" w:rsidR="002A06DB" w:rsidRDefault="002A06DB" w:rsidP="006F521A">
      <w:r>
        <w:separator/>
      </w:r>
    </w:p>
  </w:endnote>
  <w:endnote w:type="continuationSeparator" w:id="0">
    <w:p w14:paraId="46A4CA32" w14:textId="77777777" w:rsidR="002A06DB" w:rsidRDefault="002A06DB" w:rsidP="006F5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228A" w14:textId="77777777" w:rsidR="002A06DB" w:rsidRDefault="002A06DB" w:rsidP="006F521A">
      <w:r>
        <w:separator/>
      </w:r>
    </w:p>
  </w:footnote>
  <w:footnote w:type="continuationSeparator" w:id="0">
    <w:p w14:paraId="28F92490" w14:textId="77777777" w:rsidR="002A06DB" w:rsidRDefault="002A06DB" w:rsidP="006F5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1A"/>
    <w:rsid w:val="002A06DB"/>
    <w:rsid w:val="006F521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617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2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2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2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2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