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6D84C" w14:textId="77777777" w:rsidR="00FD2C78" w:rsidRDefault="00FD2C78">
      <w:r>
        <w:t>《群書治要３６Ｏ》第三冊</w:t>
      </w:r>
      <w:r>
        <w:t>—</w:t>
      </w:r>
      <w:r>
        <w:t xml:space="preserve">觀其所舉，察其黨與　　悟道法師主講　　（第三五Ｏ集）　　</w:t>
      </w:r>
      <w:r>
        <w:t>2023/8/23</w:t>
      </w:r>
      <w:r>
        <w:t xml:space="preserve">　　華藏淨宗學會　　檔名：</w:t>
      </w:r>
      <w:r>
        <w:t xml:space="preserve">WD20-057-0350 </w:t>
      </w:r>
    </w:p>
    <w:p w14:paraId="52B4A723" w14:textId="77777777" w:rsidR="00FD2C78" w:rsidRDefault="00FD2C78">
      <w:pPr>
        <w:pStyle w:val="a3"/>
      </w:pPr>
      <w:r>
        <w:t xml:space="preserve">　　諸位同學，大家好！我們繼續來學習《群書治要３６Ｏ》第三冊，第六單元「明辨」，五、「辨物」。</w:t>
      </w:r>
      <w:r>
        <w:t xml:space="preserve"> </w:t>
      </w:r>
    </w:p>
    <w:p w14:paraId="777CC726" w14:textId="77777777" w:rsidR="00FD2C78" w:rsidRDefault="00FD2C78">
      <w:pPr>
        <w:pStyle w:val="a3"/>
      </w:pPr>
      <w:r>
        <w:t xml:space="preserve">　　【三五Ｏ、觀其所舉，而治亂可見也；察其黨與，而賢不肖可論也。】</w:t>
      </w:r>
      <w:r>
        <w:t xml:space="preserve"> </w:t>
      </w:r>
    </w:p>
    <w:p w14:paraId="08F0EA0E" w14:textId="77777777" w:rsidR="00FD2C78" w:rsidRDefault="00FD2C78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1D4FC845" w14:textId="77777777" w:rsidR="00FD2C78" w:rsidRDefault="00FD2C78">
      <w:pPr>
        <w:pStyle w:val="a3"/>
      </w:pPr>
      <w:r>
        <w:t xml:space="preserve">　　『黨與』是同夥之人；同類之人。</w:t>
      </w:r>
      <w:r>
        <w:t xml:space="preserve"> </w:t>
      </w:r>
    </w:p>
    <w:p w14:paraId="18C2C6DA" w14:textId="77777777" w:rsidR="00FD2C78" w:rsidRDefault="00FD2C78">
      <w:pPr>
        <w:pStyle w:val="a3"/>
      </w:pPr>
      <w:r>
        <w:t xml:space="preserve">　　觀察一個君主（領導人）他所舉用的人，就是看他用的人「其國家是政治清明還是混亂不堪便可以預見」。就是看看這個領導人他用的人是什麼樣的人，就可以知道他這個國家辦的政治是辦得好還是辦得不好，就可以預先看見。「觀察一個人的同夥」，同夥就他的同伴、朋友，「這個人是賢明還是不賢明便可以論定」。一個人他結交的這些人到底是什麼樣的人，如果結交一些不務正業，吃喝玩樂的，這樣的人肯定他不是賢明的人；如果這個人他結交的這些人都是有道德、有學問，做事都很認真負責的人，那麼這個人他是賢明的人。論定這個人賢明還是不賢明，就是觀察他結交的人、他的同夥，跟他在一起的都是什麼樣的人，也可以知道這個人賢還是不賢。</w:t>
      </w:r>
      <w:r>
        <w:t xml:space="preserve"> </w:t>
      </w:r>
    </w:p>
    <w:p w14:paraId="03534D20" w14:textId="77777777" w:rsidR="00FD2C78" w:rsidRDefault="00FD2C78">
      <w:pPr>
        <w:pStyle w:val="a3"/>
      </w:pPr>
      <w:r>
        <w:t xml:space="preserve">　　好，這一條我們就學習到這裡。祝大家福慧增長，法喜充滿。阿彌陀佛！　　</w:t>
      </w:r>
    </w:p>
    <w:sectPr w:rsidR="00FD2C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5ED33" w14:textId="77777777" w:rsidR="00FD2C78" w:rsidRDefault="00FD2C78" w:rsidP="009B2082">
      <w:r>
        <w:separator/>
      </w:r>
    </w:p>
  </w:endnote>
  <w:endnote w:type="continuationSeparator" w:id="0">
    <w:p w14:paraId="0B77244E" w14:textId="77777777" w:rsidR="00FD2C78" w:rsidRDefault="00FD2C78" w:rsidP="009B2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B10C3" w14:textId="77777777" w:rsidR="00FD2C78" w:rsidRDefault="00FD2C78" w:rsidP="009B2082">
      <w:r>
        <w:separator/>
      </w:r>
    </w:p>
  </w:footnote>
  <w:footnote w:type="continuationSeparator" w:id="0">
    <w:p w14:paraId="358E1AD1" w14:textId="77777777" w:rsidR="00FD2C78" w:rsidRDefault="00FD2C78" w:rsidP="009B20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82"/>
    <w:rsid w:val="007931EE"/>
    <w:rsid w:val="009B2082"/>
    <w:rsid w:val="00FD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21F0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20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20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20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20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