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384F" w14:textId="77777777" w:rsidR="00304C87" w:rsidRDefault="00304C87">
      <w:r>
        <w:t>《群書治要３６Ｏ》第三冊</w:t>
      </w:r>
      <w:r>
        <w:t>—</w:t>
      </w:r>
      <w:r>
        <w:t xml:space="preserve">莫樂之，則莫哀之　　悟道法師主講　　（第三五七集）　　</w:t>
      </w:r>
      <w:r>
        <w:t>2023/8/30</w:t>
      </w:r>
      <w:r>
        <w:t xml:space="preserve">　　華藏淨宗學會　　檔名：</w:t>
      </w:r>
      <w:r>
        <w:t xml:space="preserve">WD20-057-0357 </w:t>
      </w:r>
    </w:p>
    <w:p w14:paraId="42E5162D" w14:textId="77777777" w:rsidR="00304C87" w:rsidRDefault="00304C87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69909044" w14:textId="77777777" w:rsidR="00304C87" w:rsidRDefault="00304C87">
      <w:pPr>
        <w:pStyle w:val="a3"/>
      </w:pPr>
      <w:r>
        <w:t xml:space="preserve">　　【三五七、人主能安其民，則民事其主，如事其父母。故主有憂則憂之，有難則死之。人主視民如土，則民不為用。主有憂則不憂，有難則不死。故曰：莫樂之，則莫哀之；莫生之，則莫死之。】</w:t>
      </w:r>
      <w:r>
        <w:t xml:space="preserve"> </w:t>
      </w:r>
    </w:p>
    <w:p w14:paraId="69FB6B53" w14:textId="77777777" w:rsidR="00304C87" w:rsidRDefault="00304C87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6D513B32" w14:textId="77777777" w:rsidR="00304C87" w:rsidRDefault="00304C87">
      <w:pPr>
        <w:pStyle w:val="a3"/>
      </w:pPr>
      <w:r>
        <w:t xml:space="preserve">　　這一條講，「君主能使人民生活安定，那麼人民事奉君主，便會如同事奉自己的父母一樣。因此，君主有憂，人民便會為他分憂；君主有危難，人民便會為他效死。」就是為君主而死，人民都心甘情願。「君主若視人民如同泥土」，就是一個領導人</w:t>
      </w:r>
      <w:r>
        <w:t>(</w:t>
      </w:r>
      <w:r>
        <w:t>君主</w:t>
      </w:r>
      <w:r>
        <w:t>)</w:t>
      </w:r>
      <w:r>
        <w:t>把人民看作泥土一樣，就是不重視人民的生活，不管人民的死活，這樣，「人民便不會為他效力」，這是必然的。「君主有憂」，他有憂慮、憂愁，「人民不會為他分憂」；「君主有危難，人民也不會為他效死」，就不會為他效忠，為這個領導人去死。「所以說：君主不能使人民安樂，人民就不會為君王分憂」，不會為君主分憂解勞；「君主不考慮人民的生存，人民就不會為君王效死。」所以這一條講的因果也是很明顯的。所以做一個人主</w:t>
      </w:r>
      <w:r>
        <w:t>(</w:t>
      </w:r>
      <w:r>
        <w:t>人民的領導人</w:t>
      </w:r>
      <w:r>
        <w:t>)</w:t>
      </w:r>
      <w:r>
        <w:t>，照顧人民，人民也會為君主</w:t>
      </w:r>
      <w:r>
        <w:t>(</w:t>
      </w:r>
      <w:r>
        <w:t>領導人</w:t>
      </w:r>
      <w:r>
        <w:t>)</w:t>
      </w:r>
      <w:r>
        <w:t>來效忠，甚至為領導人死也都心甘情願沒有怨言；如果反過來做一個領導人不顧人民的死活，他有難，人民也不會為他去效忠而死，這是必然的因果。</w:t>
      </w:r>
      <w:r>
        <w:t xml:space="preserve"> </w:t>
      </w:r>
    </w:p>
    <w:p w14:paraId="6058EA84" w14:textId="77777777" w:rsidR="00304C87" w:rsidRDefault="00304C87">
      <w:pPr>
        <w:pStyle w:val="a3"/>
      </w:pPr>
      <w:r>
        <w:t xml:space="preserve">　　好，這一條我們就學習到這裡。祝大家福慧增長，法喜充滿。阿彌陀佛！　　</w:t>
      </w:r>
    </w:p>
    <w:sectPr w:rsidR="00304C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2745C" w14:textId="77777777" w:rsidR="00304C87" w:rsidRDefault="00304C87" w:rsidP="006F44FC">
      <w:r>
        <w:separator/>
      </w:r>
    </w:p>
  </w:endnote>
  <w:endnote w:type="continuationSeparator" w:id="0">
    <w:p w14:paraId="00504F4F" w14:textId="77777777" w:rsidR="00304C87" w:rsidRDefault="00304C87" w:rsidP="006F4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420A" w14:textId="77777777" w:rsidR="00304C87" w:rsidRDefault="00304C87" w:rsidP="006F44FC">
      <w:r>
        <w:separator/>
      </w:r>
    </w:p>
  </w:footnote>
  <w:footnote w:type="continuationSeparator" w:id="0">
    <w:p w14:paraId="2EA57B05" w14:textId="77777777" w:rsidR="00304C87" w:rsidRDefault="00304C87" w:rsidP="006F44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FC"/>
    <w:rsid w:val="00304C87"/>
    <w:rsid w:val="006F44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096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44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44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44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44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