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E73D" w14:textId="77777777" w:rsidR="00AC7257" w:rsidRDefault="00AC7257">
      <w:r>
        <w:t>《群書治要３６Ｏ》第四冊</w:t>
      </w:r>
      <w:r>
        <w:t>—</w:t>
      </w:r>
      <w:r>
        <w:t xml:space="preserve">當惜分陰，豈可逸遊荒醉　　悟道法師主講　　（第一三三集）　　</w:t>
      </w:r>
      <w:r>
        <w:t>2024/1/13</w:t>
      </w:r>
      <w:r>
        <w:t xml:space="preserve">　　華藏淨宗學會　　檔名：</w:t>
      </w:r>
      <w:r>
        <w:t xml:space="preserve">WD20-060-0133 </w:t>
      </w:r>
    </w:p>
    <w:p w14:paraId="0427C6D6" w14:textId="77777777" w:rsidR="00AC7257" w:rsidRDefault="00AC7257">
      <w:pPr>
        <w:pStyle w:val="a3"/>
      </w:pPr>
      <w:r>
        <w:t xml:space="preserve">　　諸位同學，大家好！我們繼續來學習《群書治要３６Ｏ》第四冊，第三單元「貴德」，五、「正己」。</w:t>
      </w:r>
      <w:r>
        <w:t xml:space="preserve"> </w:t>
      </w:r>
    </w:p>
    <w:p w14:paraId="0503B1A6" w14:textId="77777777" w:rsidR="00AC7257" w:rsidRDefault="00AC7257">
      <w:pPr>
        <w:pStyle w:val="a3"/>
      </w:pPr>
      <w:r>
        <w:t xml:space="preserve">　　【一三三、陶侃，字士行，廬江人也。為荊州刺史，政刑清明，惠施均洽。故楚郢士女，莫不相慶。引接疎遠，門無停客。常語人曰：「大禹聖者，乃惜寸陰；至於眾人，當惜分陰，豈可逸遊荒醉？生無益於時，死無聞於後，是自棄也。」諸參佐或以談戲廢事者，乃命取蒱博之具，悉投之于江。吏將則加鞭朴，曰：「樗蒱者，牧奴戲耳。老莊浮華，非先王之法言，不可行也。君子當正其衣冠，攝其威儀，何有亂頭養望，自謂宏達邪？」於是朝野用命，移風易俗。】</w:t>
      </w:r>
      <w:r>
        <w:t xml:space="preserve"> </w:t>
      </w:r>
    </w:p>
    <w:p w14:paraId="79C2DFBA" w14:textId="77777777" w:rsidR="00AC7257" w:rsidRDefault="00AC7257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440DEC24" w14:textId="77777777" w:rsidR="00AC7257" w:rsidRDefault="00AC7257">
      <w:pPr>
        <w:pStyle w:val="a3"/>
      </w:pPr>
      <w:r>
        <w:t xml:space="preserve">　　『政刑清明』是政令刑罰清正廉明。『惠施均洽』就是平均的布施恩惠，社會安定。「洽」是周遍，都能普及布施這些恩惠給人民。『楚郢士女』：「郢」念影。楚郢，楚國的一個都城，在現在的湖北省江陵縣附近。「士女」，就一般指男女。就是楚國一個地方的士女。『引接疏遠』是延攬接待平日關係較疏遠的人。「引接」是指延攬接待。疎跟疏忽的「疏」是同樣的一個音。『門無停客』是指門外沒有停留的客人，形容勤於待客。沒有給客人在外面排隊在那邊等，就很勤勞的來接待客人。『談戲廢事』是談笑遊戲，荒廢職務。『蒱博』就是泛指賭博。『悉』就是全部。『鞭朴』：用鞭子或棍棒抽打的意思。『樗蒱』就是骰子，一種賭博的遊戲，以顏色決勝負，類似現在的擲骰子。也作「樗蒲」。『牧奴戲』：是出自於《晉書》作「牧豬奴戲」，就是「牧豬奴之戲」，對賭博的一種鄙稱（不好的一種名稱），賭博就是牧奴戲。『老莊浮華』是指當時流行老莊清談之風，言語舉止就很浮華，不修飾威儀。『法言』：合乎禮法的言論。『攝』是保持。『亂頭養望』：指頭髮很散亂，培養虛名，指當時的清談以及放誕者的行為。『宏達』指才識廣達，通明事理。『朝野用命』：指朝廷和民間都遵奉命令。『移風易俗』：轉移風氣，改良風俗。</w:t>
      </w:r>
      <w:r>
        <w:t xml:space="preserve"> </w:t>
      </w:r>
    </w:p>
    <w:p w14:paraId="6528E76F" w14:textId="77777777" w:rsidR="00AC7257" w:rsidRDefault="00AC7257">
      <w:pPr>
        <w:pStyle w:val="a3"/>
      </w:pPr>
      <w:r>
        <w:t xml:space="preserve">　　這一條講，「陶侃」，這在歷史上有名的，他的字叫士行，士人的士，行為的行。「廬江人」，就是跟我們淨老和尚同一個家鄉的人，安徽廬江。「官拜荊州刺史，政令刑罰清正廉明」，平均布施恩惠給人民百姓，因此社會就很安定。楚國都城郢這個地方的百姓，沒有一個不為有這樣的父母官而感到慶幸。他到這個地方來做官，這個地方的人民都很感恩陶侃。「陶侃勤於接待平日關係較疏遠的訪客」，比較疏遠的訪客他很勤奮的接待，他自己都沒有什麼休息。「使門前沒有停留的客人」，沒有人在那邊排隊，他很勤於接待這些疏遠的訪客。陶侃常常對他人說（對大家講），「大禹是位聖人」，夏朝的皇帝大禹，「還珍惜每一寸光陰」。「至於一般人，更應當愛惜每一分光陰，怎麼可以放縱遊樂，沉湎於酒色呢？」這個就是勸勉大家要愛惜光陰，不要把寶貴的光陰浪費在沒有意義的這些事情上面。「活著的時候對國家沒有益處」，如果放縱遊樂，沉湎酒色，活著對國家沒有利益，「死後也沒人知曉，這是自甘墮落，不求上進啊」，自暴自棄。陶侃他的部屬有時候因為談笑遊戲而曠廢職務的，他就下命令將他們的賭博消遣的工具全部都投進大江之中。把它丟到大江裡面，不讓他們去玩這些遊戲。「對犯事的吏員將領則加以鞭打」，刑罰得很重，</w:t>
      </w:r>
      <w:r>
        <w:t>「並且告誡說：樗蒱這種賭博遊戲是粗鄙的行為」。「老莊清談浮誇之風（當時的士</w:t>
      </w:r>
      <w:r>
        <w:lastRenderedPageBreak/>
        <w:t>大夫盛行藉助老子、莊子的哲學思想而談玄說妙，陶侃此話是針砭時弊）」，不是針對老莊，是當時的人藉老莊的名義談玄說妙，不幹正事，是針對這個時弊，說當時這種風氣，「不合乎先代聖王的禮法言論，不可以奉為行為的指導」，當時這種風氣不足以取法。「作為有道德的君子應該端正自己的衣冠，攝受自己的威儀，哪有頭髮蓬亂，培養虛名，卻自認為是才識廣達，通明事理的人呢？」那這就不是一個有明理的人，也不是有才識廣達的人。「於是朝野內外遵從他的要求辦事」，他從自己開始做起，自己端正自己，然後帶動朝野內外，他要求這樣來辦事，也就改變了當時不好的這種風俗習慣。這我們一般講移風易俗，改變了社會不好的風氣。</w:t>
      </w:r>
      <w:r>
        <w:t xml:space="preserve"> </w:t>
      </w:r>
    </w:p>
    <w:p w14:paraId="6D437CAA" w14:textId="77777777" w:rsidR="00AC7257" w:rsidRDefault="00AC7257">
      <w:pPr>
        <w:pStyle w:val="a3"/>
      </w:pPr>
      <w:r>
        <w:t xml:space="preserve">　　好，這一條我們就學習到這裡。祝大家福慧增長，法喜充滿。阿彌陀佛！　　</w:t>
      </w:r>
    </w:p>
    <w:sectPr w:rsidR="00AC72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8F6DC" w14:textId="77777777" w:rsidR="00AC7257" w:rsidRDefault="00AC7257" w:rsidP="00F4780A">
      <w:r>
        <w:separator/>
      </w:r>
    </w:p>
  </w:endnote>
  <w:endnote w:type="continuationSeparator" w:id="0">
    <w:p w14:paraId="11460281" w14:textId="77777777" w:rsidR="00AC7257" w:rsidRDefault="00AC7257" w:rsidP="00F47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25ECA" w14:textId="77777777" w:rsidR="00AC7257" w:rsidRDefault="00AC7257" w:rsidP="00F4780A">
      <w:r>
        <w:separator/>
      </w:r>
    </w:p>
  </w:footnote>
  <w:footnote w:type="continuationSeparator" w:id="0">
    <w:p w14:paraId="73938635" w14:textId="77777777" w:rsidR="00AC7257" w:rsidRDefault="00AC7257" w:rsidP="00F478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0A"/>
    <w:rsid w:val="007931EE"/>
    <w:rsid w:val="00AC7257"/>
    <w:rsid w:val="00F4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5D6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78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78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78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78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