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E907" w14:textId="77777777" w:rsidR="000B0EB1" w:rsidRDefault="000B0EB1">
      <w:r>
        <w:t>《群書治要３６Ｏ》第四冊</w:t>
      </w:r>
      <w:r>
        <w:t>—</w:t>
      </w:r>
      <w:r>
        <w:t xml:space="preserve">依功行賞　　悟道法師主講　　（第二ＯＯ集）　　</w:t>
      </w:r>
      <w:r>
        <w:t>2024/3/20</w:t>
      </w:r>
      <w:r>
        <w:t xml:space="preserve">　　華藏淨宗學會　　檔名：</w:t>
      </w:r>
      <w:r>
        <w:t xml:space="preserve">WD20-060-0200 </w:t>
      </w:r>
    </w:p>
    <w:p w14:paraId="03F67AAD" w14:textId="77777777" w:rsidR="000B0EB1" w:rsidRDefault="000B0EB1">
      <w:pPr>
        <w:pStyle w:val="a3"/>
      </w:pPr>
      <w:r>
        <w:t xml:space="preserve">　　諸位同學，大家好！我們繼續來學習《群書治要３６Ｏ》第四冊第四單元「為政」，四、「任使」。</w:t>
      </w:r>
      <w:r>
        <w:t xml:space="preserve"> </w:t>
      </w:r>
    </w:p>
    <w:p w14:paraId="21CCFD1E" w14:textId="77777777" w:rsidR="000B0EB1" w:rsidRDefault="000B0EB1">
      <w:pPr>
        <w:pStyle w:val="a3"/>
      </w:pPr>
      <w:r>
        <w:t xml:space="preserve">　　【二ＯＯ、使賢者食於能，鬥士食於功。賢者食於能，則上尊而民從；鬥士食於功，則卒輕患而傲敵。二者設於國，則天下治而主安矣。】</w:t>
      </w:r>
      <w:r>
        <w:t xml:space="preserve"> </w:t>
      </w:r>
    </w:p>
    <w:p w14:paraId="50171933" w14:textId="77777777" w:rsidR="000B0EB1" w:rsidRDefault="000B0EB1">
      <w:pPr>
        <w:pStyle w:val="a3"/>
      </w:pPr>
      <w:r>
        <w:t xml:space="preserve">　　這一條出自於卷三十二，《管子．法法》。</w:t>
      </w:r>
      <w:r>
        <w:t xml:space="preserve"> </w:t>
      </w:r>
    </w:p>
    <w:p w14:paraId="212EA74D" w14:textId="77777777" w:rsidR="000B0EB1" w:rsidRDefault="000B0EB1">
      <w:pPr>
        <w:pStyle w:val="a3"/>
      </w:pPr>
      <w:r>
        <w:t xml:space="preserve">　　『食於能』是依靠才能享受俸祿。『鬥士』就是戰士。『食於功』，依據他的功勞享受俸祿。『傲敵』就是傲視敵人。</w:t>
      </w:r>
      <w:r>
        <w:t xml:space="preserve"> </w:t>
      </w:r>
    </w:p>
    <w:p w14:paraId="15D4EC6C" w14:textId="77777777" w:rsidR="000B0EB1" w:rsidRDefault="000B0EB1">
      <w:pPr>
        <w:pStyle w:val="a3"/>
      </w:pPr>
      <w:r>
        <w:t xml:space="preserve">　　這一條講，「要讓賢德的人憑才幹享受俸祿，讓戰士憑戰功接受獎賞。賢德的人憑能力享受俸祿，才能受到國君尊貴與人民的服從；戰士憑功勞榮獲獎賞，士兵就會不在乎禍患而傲視敵人。這二種做法通行於全國，天下就得以太平而君主也能安心了。」這一條就是要任用賢德的人，讓賢德的人憑他自己的才幹來享受國家給他的俸祿，讓戰士憑著他的戰功來接受獎賞。賢德的人憑能力接受俸祿，才能受到國君的尊重，與人民的服從，人民就沒話說；戰士馮著他的功勞來接受獎賞，有這個獎賞就會不在乎禍患，在戰場上他就勇敢的與敵人作戰。這兩種做法通行全國，天下就可以得到太平，君主也就能夠安享他這個位子。</w:t>
      </w:r>
      <w:r>
        <w:t xml:space="preserve"> </w:t>
      </w:r>
    </w:p>
    <w:p w14:paraId="247EAE99" w14:textId="77777777" w:rsidR="000B0EB1" w:rsidRDefault="000B0EB1">
      <w:pPr>
        <w:pStyle w:val="a3"/>
      </w:pPr>
      <w:r>
        <w:t xml:space="preserve">　　好，這一條我們就學習到這裡。祝大家福慧增長，法喜充滿。阿彌陀佛！　　</w:t>
      </w:r>
    </w:p>
    <w:sectPr w:rsidR="000B0E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0273" w14:textId="77777777" w:rsidR="000B0EB1" w:rsidRDefault="000B0EB1" w:rsidP="009A3623">
      <w:r>
        <w:separator/>
      </w:r>
    </w:p>
  </w:endnote>
  <w:endnote w:type="continuationSeparator" w:id="0">
    <w:p w14:paraId="1EC22524" w14:textId="77777777" w:rsidR="000B0EB1" w:rsidRDefault="000B0EB1" w:rsidP="009A3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8071" w14:textId="77777777" w:rsidR="000B0EB1" w:rsidRDefault="000B0EB1" w:rsidP="009A3623">
      <w:r>
        <w:separator/>
      </w:r>
    </w:p>
  </w:footnote>
  <w:footnote w:type="continuationSeparator" w:id="0">
    <w:p w14:paraId="374CFF41" w14:textId="77777777" w:rsidR="000B0EB1" w:rsidRDefault="000B0EB1" w:rsidP="009A3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23"/>
    <w:rsid w:val="000B0EB1"/>
    <w:rsid w:val="007931EE"/>
    <w:rsid w:val="009A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9CC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6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6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6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6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