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EA618" w14:textId="77777777" w:rsidR="00D672D4" w:rsidRDefault="00D672D4">
      <w:r>
        <w:t>《群書治要３６Ｏ》第四冊</w:t>
      </w:r>
      <w:r>
        <w:t>—</w:t>
      </w:r>
      <w:r>
        <w:t xml:space="preserve">效法古訓　　悟道法師主講　　（第二四五集）　　</w:t>
      </w:r>
      <w:r>
        <w:t>2024/5/4</w:t>
      </w:r>
      <w:r>
        <w:t xml:space="preserve">　　華藏淨宗學會　　檔名：</w:t>
      </w:r>
      <w:r>
        <w:t xml:space="preserve">WD20-060-0245 </w:t>
      </w:r>
    </w:p>
    <w:p w14:paraId="1396BEC3" w14:textId="77777777" w:rsidR="00D672D4" w:rsidRDefault="00D672D4">
      <w:pPr>
        <w:pStyle w:val="a3"/>
      </w:pPr>
      <w:r>
        <w:t xml:space="preserve">　　諸位同學，大家好！我們繼續來學習《群書治要３６Ｏ》第四冊，第四單元「為政」，十、「法古」。</w:t>
      </w:r>
      <w:r>
        <w:t xml:space="preserve"> </w:t>
      </w:r>
    </w:p>
    <w:p w14:paraId="192102BA" w14:textId="77777777" w:rsidR="00D672D4" w:rsidRDefault="00D672D4">
      <w:pPr>
        <w:pStyle w:val="a3"/>
      </w:pPr>
      <w:r>
        <w:t xml:space="preserve">　　【二四五、說曰：「王！人求多聞，時惟建事，學于古訓乃有獲。事弗師古，以克永世，匪說攸聞。」】</w:t>
      </w:r>
      <w:r>
        <w:t xml:space="preserve"> </w:t>
      </w:r>
    </w:p>
    <w:p w14:paraId="227262C7" w14:textId="77777777" w:rsidR="00D672D4" w:rsidRDefault="00D672D4">
      <w:pPr>
        <w:pStyle w:val="a3"/>
      </w:pPr>
      <w:r>
        <w:t xml:space="preserve">　　這一條出自於卷二，《尚書》。</w:t>
      </w:r>
      <w:r>
        <w:t xml:space="preserve"> </w:t>
      </w:r>
    </w:p>
    <w:p w14:paraId="19443188" w14:textId="77777777" w:rsidR="00D672D4" w:rsidRDefault="00D672D4">
      <w:pPr>
        <w:pStyle w:val="a3"/>
      </w:pPr>
      <w:r>
        <w:t xml:space="preserve">　　『聞』是知識，見聞的意思。『時惟』：時，是，這。惟，為的意思。『建事』是建立事業或功業。『古訓』是古代流傳下來的典籍或可以作為準繩的話。『事』就是治理，任事。『以克』是而能。以，是一個連詞，而。克，能。『匪』：這個字同「非」那個字一樣，不或者不是的意思。『攸』：這字念「優」，攸是所，所以的所。</w:t>
      </w:r>
      <w:r>
        <w:t xml:space="preserve"> </w:t>
      </w:r>
    </w:p>
    <w:p w14:paraId="682CDB96" w14:textId="77777777" w:rsidR="00D672D4" w:rsidRDefault="00D672D4">
      <w:pPr>
        <w:pStyle w:val="a3"/>
      </w:pPr>
      <w:r>
        <w:t xml:space="preserve">　　這一條，「傅說說：君主希望見聞廣博，是想建立功業，認真學習古人的教導，就會有收穫（作為一個君王，增廣見聞是為了成就大業，學習古人的教誨才會有所收穫）。做事不師法古人，而能使國家長治久安，我傅說沒有聽說過（做事情不能遵循古人的教導，而能夠做得長久的，這種事從來沒有聽說過啊）。」</w:t>
      </w:r>
      <w:r>
        <w:t xml:space="preserve"> </w:t>
      </w:r>
    </w:p>
    <w:p w14:paraId="1BF0F7A4" w14:textId="77777777" w:rsidR="00D672D4" w:rsidRDefault="00D672D4">
      <w:pPr>
        <w:pStyle w:val="a3"/>
      </w:pPr>
      <w:r>
        <w:t xml:space="preserve">　　這一條是「法古」，效法古訓，古聖先王的教誨，我們來辦事，治理一個國家，或管理一個團體，才能有所成就，事業才能做得長久，國家也才能長治久安。我們看看歷朝歷代，古今中外都沒有例外的。王朝</w:t>
      </w:r>
      <w:r>
        <w:t>(</w:t>
      </w:r>
      <w:r>
        <w:t>政權</w:t>
      </w:r>
      <w:r>
        <w:t>)</w:t>
      </w:r>
      <w:r>
        <w:t>要滅亡都是違背古訓，不遵從古聖先王的教誨，違背了，到最後它就亡國了。這個我們從歷史上去看一個朝代的興衰，我們就能看得出來，一個國家是如此，一個企業、一個團體乃至一個家庭同樣一個道理。所以孔子說，「信而好古，述而不作」，他相信古人、相信古訓。現代人都要推翻這些古聖先王的教導，自己去創一個新的，違背這些古聖先王的教導就失敗了。</w:t>
      </w:r>
      <w:r>
        <w:t xml:space="preserve"> </w:t>
      </w:r>
    </w:p>
    <w:p w14:paraId="06590282" w14:textId="77777777" w:rsidR="00D672D4" w:rsidRDefault="00D672D4">
      <w:pPr>
        <w:pStyle w:val="a3"/>
      </w:pPr>
      <w:r>
        <w:t xml:space="preserve">　　所以過去先師淨老講，不聽老人言，吃虧在眼前。老人就是古聖先王、佛菩薩的經典，都是老人。如果我們不依照經典、古人的教誨來效法、學習，自己要去創一個違背古人的教誨的理論方法，肯定要失敗的。所以這個「法古」非常重要。孔子做一個榜樣給我們看，「信而好古，述而不作」，這是我們要學習的地方。</w:t>
      </w:r>
      <w:r>
        <w:t xml:space="preserve"> </w:t>
      </w:r>
    </w:p>
    <w:p w14:paraId="1FC1E3FC" w14:textId="77777777" w:rsidR="00D672D4" w:rsidRDefault="00D672D4">
      <w:pPr>
        <w:pStyle w:val="a3"/>
      </w:pPr>
      <w:r>
        <w:t xml:space="preserve">　　好，「法古」這一條我們學習到這裡。祝大家福慧增長，法喜充滿。阿彌陀佛！　　</w:t>
      </w:r>
    </w:p>
    <w:sectPr w:rsidR="00D672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054EF" w14:textId="77777777" w:rsidR="00D672D4" w:rsidRDefault="00D672D4" w:rsidP="00162EED">
      <w:r>
        <w:separator/>
      </w:r>
    </w:p>
  </w:endnote>
  <w:endnote w:type="continuationSeparator" w:id="0">
    <w:p w14:paraId="23DFB082" w14:textId="77777777" w:rsidR="00D672D4" w:rsidRDefault="00D672D4" w:rsidP="00162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849A" w14:textId="77777777" w:rsidR="00D672D4" w:rsidRDefault="00D672D4" w:rsidP="00162EED">
      <w:r>
        <w:separator/>
      </w:r>
    </w:p>
  </w:footnote>
  <w:footnote w:type="continuationSeparator" w:id="0">
    <w:p w14:paraId="22FEE590" w14:textId="77777777" w:rsidR="00D672D4" w:rsidRDefault="00D672D4" w:rsidP="00162E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ED"/>
    <w:rsid w:val="00162EED"/>
    <w:rsid w:val="007931EE"/>
    <w:rsid w:val="00D6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AB2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E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E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E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E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