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AEA8" w14:textId="77777777" w:rsidR="00397E71" w:rsidRDefault="00397E71">
      <w:r>
        <w:t>《群書治要３６Ｏ》第四冊</w:t>
      </w:r>
      <w:r>
        <w:t>—</w:t>
      </w:r>
      <w:r>
        <w:t xml:space="preserve">「諸侯立國」的古人智慧　　悟道法師主講　　（第二五Ｏ集）　　</w:t>
      </w:r>
      <w:r>
        <w:t>2024/5/9</w:t>
      </w:r>
      <w:r>
        <w:t xml:space="preserve">　　華藏淨宗學會　　檔名：</w:t>
      </w:r>
      <w:r>
        <w:t xml:space="preserve">WD20-060-0250 </w:t>
      </w:r>
    </w:p>
    <w:p w14:paraId="4A4D5C31" w14:textId="77777777" w:rsidR="00397E71" w:rsidRDefault="00397E71">
      <w:pPr>
        <w:pStyle w:val="a3"/>
      </w:pPr>
      <w:r>
        <w:t xml:space="preserve">　　諸位同學，大家好！我們繼續來學習《群書治要３６Ｏ》第四冊，第四單元「為政」，十、「法古」。</w:t>
      </w:r>
      <w:r>
        <w:t xml:space="preserve"> </w:t>
      </w:r>
    </w:p>
    <w:p w14:paraId="14D692B4" w14:textId="77777777" w:rsidR="00397E71" w:rsidRDefault="00397E71">
      <w:pPr>
        <w:pStyle w:val="a3"/>
      </w:pPr>
      <w:r>
        <w:t xml:space="preserve">　　【二五Ｏ、「光武紹起，雖封樹子弟，而不建成國之制，祚亦不延。魏氏承之，圈閉親戚，幽囚子弟，是以神器速傾。天命移在陛下，長短之應，禍福之徵，可見於此矣。然則建邦苟盡其理，則無向不可。故曰：『為社稷計，莫若建國。』夫邪正逆順者，人心之所繫服也。今之建置，審量事勢，使君樂其國，臣榮其朝，各流福祚，傳之無窮。上下一心，愛國如家，視人如子，然後能保荷天祿，兼翼王室。今諸王裂土，皆兼於古之諸侯，而君賤其爵，臣恥其位，莫有安志，其故何也？法同郡縣，無成國之制故也。今之建置，宜使率由舊章，一如古典。然人心繫常，不累十年，好惡未改，情願未移。臣之愚慮，以為宜早創大制，遲迴眾望，猶在十年之外，然後能令君臣各安其位，榮其所蒙，上下相持，用成藩輔。如今之為，適足以虧天府之藏，徒弃穀帛之資，無補鎭國衛土之勢也。」】</w:t>
      </w:r>
      <w:r>
        <w:t xml:space="preserve"> </w:t>
      </w:r>
    </w:p>
    <w:p w14:paraId="06C6C123" w14:textId="77777777" w:rsidR="00397E71" w:rsidRDefault="00397E71">
      <w:pPr>
        <w:pStyle w:val="a3"/>
      </w:pPr>
      <w:r>
        <w:t xml:space="preserve">　　這一條出自於卷三十，《晉書（下）．傳》。</w:t>
      </w:r>
      <w:r>
        <w:t xml:space="preserve"> </w:t>
      </w:r>
    </w:p>
    <w:p w14:paraId="11EC029B" w14:textId="77777777" w:rsidR="00397E71" w:rsidRDefault="00397E71">
      <w:pPr>
        <w:pStyle w:val="a3"/>
      </w:pPr>
      <w:r>
        <w:t xml:space="preserve">　　『紹』是承繼。『圈閉』就是禁閉。『神器』是代表國家政權的實物，如玉璽、寶鼎之類，借這個來指帝王的帝位、政權。『審量』是考察衡量、估量。『福祚』是福祿、福分。『安志』是安心的意思。『率由舊章』，典章制度完全取法於前代。「率」是遵循、聽從的意思。『天府』是朝廷的府庫，此處指國庫。</w:t>
      </w:r>
      <w:r>
        <w:t xml:space="preserve"> </w:t>
      </w:r>
    </w:p>
    <w:p w14:paraId="262CB234" w14:textId="77777777" w:rsidR="00397E71" w:rsidRDefault="00397E71">
      <w:pPr>
        <w:pStyle w:val="a3"/>
      </w:pPr>
      <w:r>
        <w:t xml:space="preserve">　　這一條也是講「法古」。承上則，劉頌講的：「東漢光武帝劉秀承繼漢統」，光武中興，王莽篡位，他要中興起來，繼承漢室的傳統，「雖然名義上也分封子弟為諸侯王」，光武帝中興之後也分封土地給這些子弟為諸侯王，「但是由於沒有建立起分封諸侯王國的制度，因此國運也沒有延續多久」。「曹魏」，到曹魏這個時侯，「繼承漢室天下，限制宗室，囚禁子弟，因而皇權迅速垮台，天命轉移到陛下這裡。國運的長短、禍福的徵兆，都可以從這些歷史事實中看出來。既然這樣，那麼，建立國家政權，如果能夠符合治國安邦的道理，那就沒有什麼辦不成的。所以說，為國家社稷考慮，沒什麼比建立諸侯國更為重要的了」，就是要比照古時侯建立諸侯國，不要中央集權，建立諸侯國。</w:t>
      </w:r>
      <w:r>
        <w:t xml:space="preserve"> </w:t>
      </w:r>
    </w:p>
    <w:p w14:paraId="1BBD29B8" w14:textId="77777777" w:rsidR="00397E71" w:rsidRDefault="00397E71">
      <w:pPr>
        <w:pStyle w:val="a3"/>
      </w:pPr>
      <w:r>
        <w:t xml:space="preserve">　　「國家治理得是偏邪還是中正，百姓對君王是拂逆還是順從，這都取決於人心的向背。今天如果建立諸侯國，應該審時度勢，使諸侯國的國君能夠以他的封國為樂，諸侯的臣子能夠以在他諸侯國的朝廷上做官為榮，使他們能夠將各自的福祉傳給後代子孫，無窮無盡。上下同心協力，愛國如家，視民如子，這樣就能夠使上天賜的福祿得以保持，並輔助護持中央王朝。今天各諸侯王分封土地，都和古代諸侯相似，但諸侯國君卻輕視他們的爵位，諸侯國的臣子也不滿於他們的官職，沒有一個人安心的，這是什麼緣故呢？那是由於法規體系來自於郡縣制度，沒有建立諸侯國立國運作的一套成規的緣故。今天建立諸侯王國，應該遵循舊有的典章制度，完全像古代的做法那樣。但人心不容易改變，不經歷十年之久，人們喜好與厭惡的心理取向是不會改變和轉移的。」如果改成古代做法，也大概要經過十年，人心才有所改變。「依微臣的愚見，應該及早創建諸侯立國的國家大法。即便這樣，眾人心理上對它的接受，還要花</w:t>
      </w:r>
      <w:r>
        <w:lastRenderedPageBreak/>
        <w:t>費十多年的時間」，才能去適應。「然後才能夠使諸侯國的君臣各安其位，對自己的所得感到榮耀，上下互相扶持，最終收到輔助王室的效果。今天的所作所為，只不過是在虧空國庫的儲備，白白浪費掉糧食和布帛等物資，卻無助於形成鎮守國家、保衛國土的情勢。」這一條是講法古，遵循古代秦朝以前的，設立諸侯國，像周朝，這個才是治國長治久安最好的一個制度。</w:t>
      </w:r>
      <w:r>
        <w:t xml:space="preserve"> </w:t>
      </w:r>
    </w:p>
    <w:p w14:paraId="42F62D7E" w14:textId="77777777" w:rsidR="00397E71" w:rsidRDefault="00397E71">
      <w:pPr>
        <w:pStyle w:val="a3"/>
      </w:pPr>
      <w:r>
        <w:t xml:space="preserve">　　好，這一條我們就學習到這裡。祝大家福慧增長，法喜充滿。阿彌陀佛！　　</w:t>
      </w:r>
    </w:p>
    <w:sectPr w:rsidR="00397E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2919" w14:textId="77777777" w:rsidR="00397E71" w:rsidRDefault="00397E71" w:rsidP="00F30CDE">
      <w:r>
        <w:separator/>
      </w:r>
    </w:p>
  </w:endnote>
  <w:endnote w:type="continuationSeparator" w:id="0">
    <w:p w14:paraId="611D33C4" w14:textId="77777777" w:rsidR="00397E71" w:rsidRDefault="00397E71" w:rsidP="00F30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02C31" w14:textId="77777777" w:rsidR="00397E71" w:rsidRDefault="00397E71" w:rsidP="00F30CDE">
      <w:r>
        <w:separator/>
      </w:r>
    </w:p>
  </w:footnote>
  <w:footnote w:type="continuationSeparator" w:id="0">
    <w:p w14:paraId="7CA17599" w14:textId="77777777" w:rsidR="00397E71" w:rsidRDefault="00397E71" w:rsidP="00F30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DE"/>
    <w:rsid w:val="00397E71"/>
    <w:rsid w:val="007931EE"/>
    <w:rsid w:val="00F3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522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C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C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C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C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