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EE24" w14:textId="77777777" w:rsidR="00461D0D" w:rsidRDefault="00461D0D">
      <w:r>
        <w:t>《群書治要３６Ｏ》第四冊</w:t>
      </w:r>
      <w:r>
        <w:t>—</w:t>
      </w:r>
      <w:r>
        <w:t xml:space="preserve">立將之道　　悟道法師主講　　（第二七一集）　　</w:t>
      </w:r>
      <w:r>
        <w:t>2024/5/30</w:t>
      </w:r>
      <w:r>
        <w:t xml:space="preserve">　　華藏淨宗學會　　檔名：</w:t>
      </w:r>
      <w:r>
        <w:t xml:space="preserve">WD20-060-0271 </w:t>
      </w:r>
    </w:p>
    <w:p w14:paraId="20F1A20A" w14:textId="77777777" w:rsidR="00461D0D" w:rsidRDefault="00461D0D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70E20DA1" w14:textId="77777777" w:rsidR="00461D0D" w:rsidRDefault="00461D0D">
      <w:pPr>
        <w:pStyle w:val="a3"/>
      </w:pPr>
      <w:r>
        <w:t xml:space="preserve">　　【二七一、武王問太公曰：「立將之道奈何？」太公曰：「凡國有難，君避正殿，召將而詔之曰：『社稷安危，一在將軍。』將軍受命，乃齋於太廟，擇日授斧鉞。君入廟，西面而立。將軍入，北面立。君親操鉞，持其首，授其柄。曰：『從此以往，上至於天，將軍制之。』乃復操斧，持柄，授將其刃，曰：『從此以下至於泉，將軍制之。』既受命，曰：『臣聞治國不可從外治，軍不可從中御，二心不可以事君，疑志不可以應敵。臣既受命專斧鉞之威，不敢還請，願君亦一言之命於臣。君不許臣，臣不敢將。』君許之，乃辭而行。軍中之事，不可聞君命，皆由將出；臨敵決戰，無有二心。若此，無天於上，無地於下，無敵於前，無主於後。是故智者為之慮，勇者為之鬭，氣厲青雲，疾若馳騖，兵不接刃，而敵降服。」】</w:t>
      </w:r>
      <w:r>
        <w:t xml:space="preserve"> </w:t>
      </w:r>
    </w:p>
    <w:p w14:paraId="2B31DBF1" w14:textId="77777777" w:rsidR="00461D0D" w:rsidRDefault="00461D0D">
      <w:pPr>
        <w:pStyle w:val="a3"/>
      </w:pPr>
      <w:r>
        <w:t xml:space="preserve">　　這一條出自於卷三十一，《六韜．龍韜》。</w:t>
      </w:r>
      <w:r>
        <w:t xml:space="preserve"> </w:t>
      </w:r>
    </w:p>
    <w:p w14:paraId="32CF692B" w14:textId="77777777" w:rsidR="00461D0D" w:rsidRDefault="00461D0D">
      <w:pPr>
        <w:pStyle w:val="a3"/>
      </w:pPr>
      <w:r>
        <w:t xml:space="preserve">　　『武王』是周武王，帝號。在位十九年崩，謚號曰「武」。『太公』就是「姜太公」。『立將』：任命將帥。『正殿』是宮殿或廟宇裡位置在中間的主殿，百官朝賀之殿。『齋於太廟』：齋，古人在祭祀或舉行其他重要典禮前，要先清心寡欲，淨身潔食，以示莊敬。「太廟」是國君的宗廟，帝王的祖廟。『授斧鉞』：斧鉞，就是古時候天子以斧鉞賜於諸侯或大臣，授以征伐之權。鉞是古兵器，圓形的刀，青銅製的，形狀好像斧頭，但是比較大，盛行於殷周那個時代。『制』是管制，控制。『授將其刃』：以斧刃授予主將。『不可從中禦』：國君不可從中樞直接干預軍中之事。就是指朝廷不能干涉軍中的事情。『二心』就是指臣子治理軍隊懷有異志。『疑志』是國君對於戰爭與主將沒有堅定的信心，是這個意思。『專斧鉞之威』：君既以斧鉞授將，將得全權行事之意。『還請』是生還。『一言之命』：將帥要求君上答應不干涉軍中之事，是這個意思。同那個「垂」那個字是一樣，是給予的意思。『將』就是統帥軍隊的主將。『君許之』：國君答應不干涉軍中之事。『鬭』是同我們寫得比較簡單那個鬥，戰鬥。『青雲』是青天白雲。『馳騖』是奔走、奔馳。『接刃』是兵刃相接觸，謂交戰的意思。</w:t>
      </w:r>
      <w:r>
        <w:t xml:space="preserve"> </w:t>
      </w:r>
    </w:p>
    <w:p w14:paraId="5A026E70" w14:textId="77777777" w:rsidR="00461D0D" w:rsidRDefault="00461D0D">
      <w:pPr>
        <w:pStyle w:val="a3"/>
      </w:pPr>
      <w:r>
        <w:t xml:space="preserve">　　這一條，「周武王問姜太公：任命將帥的原則是怎樣的呢？太公回答：凡是國家遭遇危難時，國君就避開正殿，在偏殿召見主將，向他下達詔令說：『國家的安危，全在於將軍。』主將接受命令後，國君齋戒於太廟，選擇吉日，向將帥頒授斧鉞。（到了吉日）國君進入太廟，面向西而立；主將進入太廟，面向北方站立。國君親自拿著鉞的頭部，以鉞柄交給主將，宣告：『從此以後，軍中上至於天的一切事務，全由將軍處置。』然後又親自拿著斧柄，以斧刃授予主將，宣告：『自此以後，軍中下至於泉的一切事務，全由將軍裁決。』主將接受任命後，說：『臣聽說治理國家不可受外部的干預，領軍作戰不能由朝廷遙控指揮，臣懷二心就不能忠心侍奉君主，將帥受君主的牽制而疑慮重重，就不能專心致志去對付敵人。臣既已奉命執掌征伐大權，（不獲勝利）不敢生還。』沒有打勝仗就不敢回來了。『願請君上授全權之命於臣，使臣得以專斷而從事。』請君主要授權。『君若不允許，臣不敢擔任主將。』如果君主不同意，臣就不敢擔任主將了。「國君答應之後，主將就辭別君主率軍出征。從此</w:t>
      </w:r>
      <w:r>
        <w:lastRenderedPageBreak/>
        <w:t>軍中一切事務，不聽命於國君，而全部聽命於主將，臨敵決戰，專心一意，無有疑二。」沒有疑惑了。「這樣，主將就能上不受天時節制，下不受地形限制，前無敵人敢於抵擋，後無君主從中牽制。這樣，就能使智謀之士都願為他出謀劃策，勇武之人都願為他奮力戰鬥，士氣昂揚，直衝青雲，行動迅速如快馬奔騰，兵未交鋒，而敵人就已降服。」</w:t>
      </w:r>
      <w:r>
        <w:t xml:space="preserve"> </w:t>
      </w:r>
    </w:p>
    <w:p w14:paraId="2A539408" w14:textId="77777777" w:rsidR="00461D0D" w:rsidRDefault="00461D0D">
      <w:pPr>
        <w:pStyle w:val="a3"/>
      </w:pPr>
      <w:r>
        <w:t xml:space="preserve">　　這一條也是講「武事」，武力軍事。將軍在外就不受朝廷君主的牽制，將在外就不受君命了，不受君主的遙控指揮，這樣他才能專心與敵人作戰，才能獲得勝利。</w:t>
      </w:r>
      <w:r>
        <w:t xml:space="preserve"> </w:t>
      </w:r>
    </w:p>
    <w:p w14:paraId="6362CC79" w14:textId="77777777" w:rsidR="00461D0D" w:rsidRDefault="00461D0D">
      <w:pPr>
        <w:pStyle w:val="a3"/>
      </w:pPr>
      <w:r>
        <w:t xml:space="preserve">　　好，這一條我們就學習到這裡。祝大家福慧增長，法喜充滿。阿彌陀佛！　　</w:t>
      </w:r>
    </w:p>
    <w:sectPr w:rsidR="00461D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8908D" w14:textId="77777777" w:rsidR="00461D0D" w:rsidRDefault="00461D0D" w:rsidP="00AE7DF0">
      <w:r>
        <w:separator/>
      </w:r>
    </w:p>
  </w:endnote>
  <w:endnote w:type="continuationSeparator" w:id="0">
    <w:p w14:paraId="034D0DC4" w14:textId="77777777" w:rsidR="00461D0D" w:rsidRDefault="00461D0D" w:rsidP="00AE7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619B4" w14:textId="77777777" w:rsidR="00461D0D" w:rsidRDefault="00461D0D" w:rsidP="00AE7DF0">
      <w:r>
        <w:separator/>
      </w:r>
    </w:p>
  </w:footnote>
  <w:footnote w:type="continuationSeparator" w:id="0">
    <w:p w14:paraId="06AB4D4D" w14:textId="77777777" w:rsidR="00461D0D" w:rsidRDefault="00461D0D" w:rsidP="00AE7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F0"/>
    <w:rsid w:val="00461D0D"/>
    <w:rsid w:val="007931EE"/>
    <w:rsid w:val="00A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04C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7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7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7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7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