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4B70" w14:textId="77777777" w:rsidR="0032227A" w:rsidRDefault="0032227A">
      <w:r>
        <w:t>《群書治要３６Ｏ》第四冊</w:t>
      </w:r>
      <w:r>
        <w:t>—</w:t>
      </w:r>
      <w:r>
        <w:t xml:space="preserve">安危治亂，在上之發政　　悟道法師主講　　（第二九一集）　　</w:t>
      </w:r>
      <w:r>
        <w:t>2024/6/19</w:t>
      </w:r>
      <w:r>
        <w:t xml:space="preserve">　　華藏淨宗學會　　檔名：</w:t>
      </w:r>
      <w:r>
        <w:t xml:space="preserve">WD20-060-0291 </w:t>
      </w:r>
    </w:p>
    <w:p w14:paraId="2312E846" w14:textId="77777777" w:rsidR="0032227A" w:rsidRDefault="0032227A">
      <w:pPr>
        <w:pStyle w:val="a3"/>
      </w:pPr>
      <w:r>
        <w:t xml:space="preserve">　　諸位同學，大家好！我們繼續來學習《群書治要３６Ｏ》第四冊，第五單元「敬慎」，二、「治亂」。</w:t>
      </w:r>
      <w:r>
        <w:t xml:space="preserve"> </w:t>
      </w:r>
    </w:p>
    <w:p w14:paraId="27657E14" w14:textId="77777777" w:rsidR="0032227A" w:rsidRDefault="0032227A">
      <w:pPr>
        <w:pStyle w:val="a3"/>
      </w:pPr>
      <w:r>
        <w:t xml:space="preserve">　　【二九一、桀之所亂，湯治之；紂之所亂，武王治之。此世不渝而民不改，上變正而民易教。其在湯、武則治，其在桀、紂則亂。安危治亂，在上之發政也，則豈可謂有命哉？】</w:t>
      </w:r>
      <w:r>
        <w:t xml:space="preserve"> </w:t>
      </w:r>
    </w:p>
    <w:p w14:paraId="7BA28507" w14:textId="77777777" w:rsidR="0032227A" w:rsidRDefault="0032227A">
      <w:pPr>
        <w:pStyle w:val="a3"/>
      </w:pPr>
      <w:r>
        <w:t xml:space="preserve">　　這一條出自於卷三十四，《墨子．非命》。</w:t>
      </w:r>
      <w:r>
        <w:t xml:space="preserve"> </w:t>
      </w:r>
    </w:p>
    <w:p w14:paraId="24D64D7D" w14:textId="77777777" w:rsidR="0032227A" w:rsidRDefault="0032227A">
      <w:pPr>
        <w:pStyle w:val="a3"/>
      </w:pPr>
      <w:r>
        <w:t xml:space="preserve">　　『不渝』是不變。『發政』是發布的政令。『有命』是既定的命運。</w:t>
      </w:r>
      <w:r>
        <w:t xml:space="preserve"> </w:t>
      </w:r>
    </w:p>
    <w:p w14:paraId="4C677646" w14:textId="77777777" w:rsidR="0032227A" w:rsidRDefault="0032227A">
      <w:pPr>
        <w:pStyle w:val="a3"/>
      </w:pPr>
      <w:r>
        <w:t xml:space="preserve">　　這一條講，「夏桀亂國，商湯治理它；商紂亂國，周武王治理它。這個社會沒有改變，人民不變，君王改變了政令，人民就容易教導了。在商湯、武王時天下就得到治理，在桀、紂時則變得混亂。安寧與危險、治理與混亂，原因在君王所發布的政令，怎能說是『有命』呢？」這一條也就是講一個國家的治跟亂不能推於命運，都是上面的領導人他治理得對不對，他的政策好不好。如果政策好，國家就治得好；如果政策不對，國家必定亂，治理不好。這個關鍵在領導人，人好，政策不好，可以把它改成好的；人不好，政策好，也可以把它變成壞的。關鍵在人與政策的對錯，政策是人在執行的，所以根本來講，還是歸結到人心的問題，人思想見解正確，他施政必然是正確的，國家就得到治理；人心不善，他的思想見解錯誤，他施政必定是偏差錯誤的，導致國家的混亂。夏朝到桀王的時候他就亂國了，後來商湯來治理，治理得很好；商朝到了紂王，又亂了，接著周武王來治理。社會它沒有改變，人民也是沒有改變，而是君王他的政策改變了，改變得好了，人民就容易教導。所以這個關鍵還是在人，在於政策的正確與錯誤，不在於命運，命運就是人自己製造的。</w:t>
      </w:r>
      <w:r>
        <w:t xml:space="preserve"> </w:t>
      </w:r>
    </w:p>
    <w:p w14:paraId="3831284F" w14:textId="77777777" w:rsidR="0032227A" w:rsidRDefault="0032227A">
      <w:pPr>
        <w:pStyle w:val="a3"/>
      </w:pPr>
      <w:r>
        <w:t xml:space="preserve">　　好，這一條我們就學習到這裡。祝大家福慧增長，法喜充滿。阿彌陀佛！　　</w:t>
      </w:r>
    </w:p>
    <w:sectPr w:rsidR="003222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786A" w14:textId="77777777" w:rsidR="0032227A" w:rsidRDefault="0032227A" w:rsidP="00B8132B">
      <w:r>
        <w:separator/>
      </w:r>
    </w:p>
  </w:endnote>
  <w:endnote w:type="continuationSeparator" w:id="0">
    <w:p w14:paraId="03FB9742" w14:textId="77777777" w:rsidR="0032227A" w:rsidRDefault="0032227A" w:rsidP="00B81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8591" w14:textId="77777777" w:rsidR="0032227A" w:rsidRDefault="0032227A" w:rsidP="00B8132B">
      <w:r>
        <w:separator/>
      </w:r>
    </w:p>
  </w:footnote>
  <w:footnote w:type="continuationSeparator" w:id="0">
    <w:p w14:paraId="4B581FA2" w14:textId="77777777" w:rsidR="0032227A" w:rsidRDefault="0032227A" w:rsidP="00B81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2B"/>
    <w:rsid w:val="0032227A"/>
    <w:rsid w:val="007931EE"/>
    <w:rsid w:val="00B8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D8F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3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3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3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3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