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CD729" w14:textId="77777777" w:rsidR="0083799B" w:rsidRDefault="0083799B">
      <w:r>
        <w:t>《群書治要３６Ｏ》第四冊</w:t>
      </w:r>
      <w:r>
        <w:t>—</w:t>
      </w:r>
      <w:r>
        <w:t xml:space="preserve">恭慎如始，方得善終　　悟道法師主講　　（第三一八集）　　</w:t>
      </w:r>
      <w:r>
        <w:t>2024/7/16</w:t>
      </w:r>
      <w:r>
        <w:t xml:space="preserve">　　華藏淨宗學會　　檔名：</w:t>
      </w:r>
      <w:r>
        <w:t xml:space="preserve">WD20-060-0318 </w:t>
      </w:r>
    </w:p>
    <w:p w14:paraId="4CA701AE" w14:textId="77777777" w:rsidR="0083799B" w:rsidRDefault="0083799B">
      <w:pPr>
        <w:pStyle w:val="a3"/>
      </w:pPr>
      <w:r>
        <w:t xml:space="preserve">　　諸位同學，大家好！我們繼續來學習《群書治要３６Ｏ》第四冊，第五單元「敬慎」，五、「慎始終」。</w:t>
      </w:r>
      <w:r>
        <w:t xml:space="preserve"> </w:t>
      </w:r>
    </w:p>
    <w:p w14:paraId="3DF85C7C" w14:textId="77777777" w:rsidR="0083799B" w:rsidRDefault="0083799B">
      <w:pPr>
        <w:pStyle w:val="a3"/>
      </w:pPr>
      <w:r>
        <w:t xml:space="preserve">　　【三一八、昔先君桓公，方任賢而贊德之時，亡國恃以存，危國仰以安，是以民樂其政，而世高其德行。遠征暴勞者不疾；驅海內使朝天子，諸侯不怨。當是時，盛君之行，不能進焉。及其卒而衰，怠於德而並於樂，身溺於婦侍，而謀因於豎刁，是以民苦其政，而世非其行。故身死胡宮而不舉，蟲出而不收。當是時也，桀、紂之卒，不能惡焉。】</w:t>
      </w:r>
      <w:r>
        <w:t xml:space="preserve"> </w:t>
      </w:r>
    </w:p>
    <w:p w14:paraId="7C00C694" w14:textId="77777777" w:rsidR="0083799B" w:rsidRDefault="0083799B">
      <w:pPr>
        <w:pStyle w:val="a3"/>
      </w:pPr>
      <w:r>
        <w:t xml:space="preserve">　　這一條出自於卷三十三，《晏子．諫（上）》。</w:t>
      </w:r>
      <w:r>
        <w:t xml:space="preserve"> </w:t>
      </w:r>
    </w:p>
    <w:p w14:paraId="44CF0B2F" w14:textId="77777777" w:rsidR="0083799B" w:rsidRDefault="0083799B">
      <w:pPr>
        <w:pStyle w:val="a3"/>
      </w:pPr>
      <w:r>
        <w:t xml:space="preserve">　　『先君』是前代帝王。『贊德』是推崇仁德。『不疾』是不憎恨，不生氣的意思。『盛君』是聖明的君主。『溺於婦侍』：指齊桓公沉湎於美色，就是好色。『豎刁』是春秋齊國的人，為了表示對齊桓公的忠心，自行閹割。而齊桓公也因為這件事而不聽管仲的遺言，親信易牙跟豎刁。管仲臨終他的遺言勸桓公不能用這兩個人，不能用易牙跟豎刁，他沒有聽管仲的，管仲死了之後他還是用這兩個人。桓公病危的時候，豎刁作亂，就不給桓公送飯菜。桓公得知後，知道這個事情之後，用衣袖蒙著臉，活活的被餓死了。『苦』：這個字是作動詞，指災患或者是怕的意思。『非』：在此地也是動詞，是反對、詆毀。『胡宮』就是寢宮，住的地方，住的宮室。『不舉』就是沒有提報，沒有人去報告。『蟲出而不收』：齊桓公四十三年（西元前六四三），桓公重病，五公子（公子無虧、公子昭、公子潘、公子元、公子商人）各率黨羽爭位，他五個兒子都爭這個王位。冬十月七日，冬天十月七日齊桓公餓死。五個公子互相攻打，齊國一片混亂。桓公屍體在床上放了六十七天，屍蟲都爬出來了，仍然沒有人收屍。到了十四日，新立的齊君無虧才把桓公收殮。『不能』就是未及、不及的意思。『惡』是壞。『焉』：表示感嘆。相當於「啊」的意思。</w:t>
      </w:r>
      <w:r>
        <w:t xml:space="preserve"> </w:t>
      </w:r>
    </w:p>
    <w:p w14:paraId="55ECE7CF" w14:textId="77777777" w:rsidR="0083799B" w:rsidRDefault="0083799B">
      <w:pPr>
        <w:pStyle w:val="a3"/>
      </w:pPr>
      <w:r>
        <w:t xml:space="preserve">　　這一條講，「從前先王桓公」，就是齊桓公，「任用賢良而推崇仁德的時候」，他用管仲推行仁德的時候，也就是推行仁政，「將要滅亡的國家依靠他可以保存下來」。因為任用賢良的人來當官，快要滅亡的國家幫助它保存下來。國家遭受危難的時候，「倚仗他可以轉危為安」。「因此百姓喜愛他的政權」，他執政人民得到安樂，「世人尊崇他的德政」。「連到很遠的地方去征討殘暴，身受勞苦的人也不會怨恨」，不會埋怨，願意為國家來犧牲奉獻；「令海內各國朝見天子，諸侯也不埋怨」，也沒有怨恨，大家都樂意來朝見。「這個時候，威望極高的國君的舉動，也都不能超越他。」當時是五霸之首，春秋五霸達到最高峰。「到了他晚年，國勢漸衰，懶於推行德政而迷戀於淫樂，沉湎於美色而聽信豎刁的謀議」。到晚年，桓公他就不像從前，管仲死了之後他就任用不好的人，聽信豎刁的謀議。豎刁是奸臣，不好。因此人民百姓痛恨他的政權，因為實行一些暴政，「他的行為受到世人的非議，所以他死在寢宮沒有人報告」，屍體長蟲爬出牆外，「也沒有人去收屍」。這是到晚年很慘。當時，暴虐的夏桀、商紂死的時候，也沒有像桓公這麼慘啊！</w:t>
      </w:r>
      <w:r>
        <w:t xml:space="preserve"> </w:t>
      </w:r>
    </w:p>
    <w:p w14:paraId="7C85D2F4" w14:textId="77777777" w:rsidR="0083799B" w:rsidRDefault="0083799B">
      <w:pPr>
        <w:pStyle w:val="a3"/>
      </w:pPr>
      <w:r>
        <w:t xml:space="preserve">　　這一條也是告訴我們要慎始終，開始任用賢良的人做大臣做大官，把國家治理得很安定，到了晚年就不用賢能的人，改用會諂媚巴結他的人，用這些奸臣，到最後國</w:t>
      </w:r>
      <w:r>
        <w:lastRenderedPageBreak/>
        <w:t>家一片混亂，自己死了都沒有人收屍。這個慘狀，真的比桀、紂還要慘。這一條也是告訴我們做什麼事情都要慎始終，有始有終，不能前面很好，後面就不好，應該要有始有終，這樣才能保全自己的身家，自己國家的安定繁榮。</w:t>
      </w:r>
      <w:r>
        <w:t xml:space="preserve"> </w:t>
      </w:r>
    </w:p>
    <w:p w14:paraId="34FAC3EA" w14:textId="77777777" w:rsidR="0083799B" w:rsidRDefault="0083799B">
      <w:pPr>
        <w:pStyle w:val="a3"/>
      </w:pPr>
      <w:r>
        <w:t xml:space="preserve">　　好，這一條我們就學習到這裡。祝大家福慧增長，法喜充滿。阿彌陀佛！　　</w:t>
      </w:r>
    </w:p>
    <w:sectPr w:rsidR="008379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DC78A" w14:textId="77777777" w:rsidR="0083799B" w:rsidRDefault="0083799B" w:rsidP="00BD0487">
      <w:r>
        <w:separator/>
      </w:r>
    </w:p>
  </w:endnote>
  <w:endnote w:type="continuationSeparator" w:id="0">
    <w:p w14:paraId="752B0980" w14:textId="77777777" w:rsidR="0083799B" w:rsidRDefault="0083799B" w:rsidP="00BD0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12D80" w14:textId="77777777" w:rsidR="0083799B" w:rsidRDefault="0083799B" w:rsidP="00BD0487">
      <w:r>
        <w:separator/>
      </w:r>
    </w:p>
  </w:footnote>
  <w:footnote w:type="continuationSeparator" w:id="0">
    <w:p w14:paraId="4107217A" w14:textId="77777777" w:rsidR="0083799B" w:rsidRDefault="0083799B" w:rsidP="00BD04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87"/>
    <w:rsid w:val="007931EE"/>
    <w:rsid w:val="0083799B"/>
    <w:rsid w:val="00BD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34E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04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04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04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04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