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44D0" w14:textId="77777777" w:rsidR="004D0F9F" w:rsidRDefault="004D0F9F">
      <w:r>
        <w:t>《群書治要３６Ｏ》第四冊</w:t>
      </w:r>
      <w:r>
        <w:t>—</w:t>
      </w:r>
      <w:r>
        <w:t xml:space="preserve">看清事情的始末因果　　悟道法師主講　　（第三五二集）　　</w:t>
      </w:r>
      <w:r>
        <w:t>2024/8/19</w:t>
      </w:r>
      <w:r>
        <w:t xml:space="preserve">　　華藏淨宗學會　　檔名：</w:t>
      </w:r>
      <w:r>
        <w:t xml:space="preserve">WD20-060-0352 </w:t>
      </w:r>
    </w:p>
    <w:p w14:paraId="0A6AAB05" w14:textId="77777777" w:rsidR="004D0F9F" w:rsidRDefault="004D0F9F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392F8EEC" w14:textId="77777777" w:rsidR="004D0F9F" w:rsidRDefault="004D0F9F">
      <w:pPr>
        <w:pStyle w:val="a3"/>
      </w:pPr>
      <w:r>
        <w:t xml:space="preserve">　　【三五二、凡學者，能明於天人之分，通於治亂之本，見其終始，可謂達矣。】</w:t>
      </w:r>
      <w:r>
        <w:t xml:space="preserve"> </w:t>
      </w:r>
    </w:p>
    <w:p w14:paraId="708ABEBC" w14:textId="77777777" w:rsidR="004D0F9F" w:rsidRDefault="004D0F9F">
      <w:pPr>
        <w:pStyle w:val="a3"/>
      </w:pPr>
      <w:r>
        <w:t xml:space="preserve">　　這一條出自於卷三十五，《文子．上義》。</w:t>
      </w:r>
      <w:r>
        <w:t xml:space="preserve"> </w:t>
      </w:r>
    </w:p>
    <w:p w14:paraId="15C42BAF" w14:textId="77777777" w:rsidR="004D0F9F" w:rsidRDefault="004D0F9F">
      <w:pPr>
        <w:pStyle w:val="a3"/>
      </w:pPr>
      <w:r>
        <w:t xml:space="preserve">　　『明於天人之分』，就是講明白天道與人道的不同和區別。指自然界有自己的運行規律，不會因為人而存亡，與人類社會的疾病災難沒有必然的聯繫，也不會主宰人的命運。『達』是通曉事理。</w:t>
      </w:r>
      <w:r>
        <w:t xml:space="preserve"> </w:t>
      </w:r>
    </w:p>
    <w:p w14:paraId="21CC95F1" w14:textId="77777777" w:rsidR="004D0F9F" w:rsidRDefault="004D0F9F">
      <w:pPr>
        <w:pStyle w:val="a3"/>
      </w:pPr>
      <w:r>
        <w:t xml:space="preserve">　　這一條是講，「凡是求學的人，能明白天道與人道的不同和區別，能了解治亂的根本，能看清事情的開始和結束，可以說是通曉事理了。」這一條也是講辨物。就是求學問的人，能夠明白天道與人道，這裡講天道（天地、自然界）與我們人的不同與區別；能夠了解治亂的根本，一個國家得到很好的治理，或者這個國家治得很亂，它的根本原因在哪裡也能夠了解；能看清楚事情的開始和結束，這個也是講它的因果，整個事情的開始、結束，就可以說是通曉事理了。這個也是我們生活上，對這些人事物都必須要學習的。</w:t>
      </w:r>
      <w:r>
        <w:t xml:space="preserve"> </w:t>
      </w:r>
    </w:p>
    <w:p w14:paraId="40A10F53" w14:textId="77777777" w:rsidR="004D0F9F" w:rsidRDefault="004D0F9F">
      <w:pPr>
        <w:pStyle w:val="a3"/>
      </w:pPr>
      <w:r>
        <w:t xml:space="preserve">　　好，這一條我們就學習到這裡。祝大家福慧增長，法喜充滿。阿彌陀佛！　　</w:t>
      </w:r>
    </w:p>
    <w:sectPr w:rsidR="004D0F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CD76" w14:textId="77777777" w:rsidR="004D0F9F" w:rsidRDefault="004D0F9F" w:rsidP="00D035CE">
      <w:r>
        <w:separator/>
      </w:r>
    </w:p>
  </w:endnote>
  <w:endnote w:type="continuationSeparator" w:id="0">
    <w:p w14:paraId="4DA3516B" w14:textId="77777777" w:rsidR="004D0F9F" w:rsidRDefault="004D0F9F" w:rsidP="00D03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4E05" w14:textId="77777777" w:rsidR="004D0F9F" w:rsidRDefault="004D0F9F" w:rsidP="00D035CE">
      <w:r>
        <w:separator/>
      </w:r>
    </w:p>
  </w:footnote>
  <w:footnote w:type="continuationSeparator" w:id="0">
    <w:p w14:paraId="26A2383E" w14:textId="77777777" w:rsidR="004D0F9F" w:rsidRDefault="004D0F9F" w:rsidP="00D03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CE"/>
    <w:rsid w:val="004D0F9F"/>
    <w:rsid w:val="007931EE"/>
    <w:rsid w:val="00D0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07C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