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63A3" w14:textId="77777777" w:rsidR="00C61C97" w:rsidRDefault="00C61C97">
      <w:r>
        <w:t>群書治要３６Ｏ講記</w:t>
      </w:r>
      <w:r>
        <w:t>—</w:t>
      </w:r>
      <w:r>
        <w:t xml:space="preserve">第二集節要（三面鏡子）　　悟道法師主講　　（第三十三集）　　</w:t>
      </w:r>
      <w:r>
        <w:t>2024/9/29</w:t>
      </w:r>
      <w:r>
        <w:t xml:space="preserve">　　華藏淨宗學會　　檔名：</w:t>
      </w:r>
      <w:r>
        <w:t xml:space="preserve">WD20-064-0033 </w:t>
      </w:r>
    </w:p>
    <w:p w14:paraId="35DA5189" w14:textId="77777777" w:rsidR="00C61C97" w:rsidRDefault="00C61C97">
      <w:pPr>
        <w:pStyle w:val="a3"/>
      </w:pPr>
      <w:r>
        <w:t xml:space="preserve">　　諸位同學，大家好！我們繼續來學習《群書治要３６Ｏ》講記，第二集節要第十二：</w:t>
      </w:r>
      <w:r>
        <w:t xml:space="preserve"> </w:t>
      </w:r>
    </w:p>
    <w:p w14:paraId="1376CF23" w14:textId="77777777" w:rsidR="00C61C97" w:rsidRDefault="00C61C97">
      <w:pPr>
        <w:pStyle w:val="a3"/>
      </w:pPr>
      <w:r>
        <w:t xml:space="preserve">　　「太宗說到：『以銅為鏡，正衣冠；以古為鏡，知興替；以人為鏡，明得失。』」</w:t>
      </w:r>
      <w:r>
        <w:t xml:space="preserve"> </w:t>
      </w:r>
    </w:p>
    <w:p w14:paraId="4FF52770" w14:textId="77777777" w:rsidR="00C61C97" w:rsidRDefault="00C61C97">
      <w:pPr>
        <w:pStyle w:val="a3"/>
      </w:pPr>
      <w:r>
        <w:t xml:space="preserve">　　這一條講，唐太宗他說：「以銅為鏡，正衣冠」。古時候的鏡子是銅鏡，現在的鏡子是玻璃，以前是銅來做鏡子。每一天照鏡子，就是正衣冠，這個衣服我們穿得整齊不整齊，照照鏡子，不整齊我們就把它調整，讓衣冠能夠整齊。「以古為鏡，知興替。」古是歷史，歷史每一個朝代，每一個君主他的政策，他個人的種種做法，是興旺還是衰敗，也像一面鏡子。所以歷史也是提供我們，一個朝代的興衰，它興是怎麼興的、衰是怎麼衰的，讓我們做一個借鏡。「以人為鏡，明得失。」一個國家的君王，這個人民好不好、善不善，我們可以明白知道他的得失。所以他的做法對不對？不對，他就失去這些國家爵位了；如果做對了，他能夠保持這個國家的安定，個人也能夠保有這個爵位不會喪失掉。我們每一個人都是一樣的道理，不是說只是做皇帝的人他要怎麼修，每一個人都需要。我們每一個人每一天也要照鏡子，要讀歷史，古今這些發生的事情，要知道它的興替。要看看別人，別人也是我們的借鏡，別人做對了，他得到了；做錯了，他失去了。他為什麼得、為什麼失，也是給我們一個借鏡。他正確的我們要效法，他錯誤的我們要避免。所以都是我們要學習的地方。</w:t>
      </w:r>
      <w:r>
        <w:t xml:space="preserve"> </w:t>
      </w:r>
    </w:p>
    <w:p w14:paraId="0AF6D699" w14:textId="77777777" w:rsidR="00C61C97" w:rsidRDefault="00C61C97">
      <w:pPr>
        <w:pStyle w:val="a3"/>
      </w:pPr>
      <w:r>
        <w:t xml:space="preserve">　　好，這一條我們就學習到這裡。祝大家福慧增長，法喜充滿。阿彌陀佛！　　</w:t>
      </w:r>
    </w:p>
    <w:sectPr w:rsidR="00C61C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FC7B" w14:textId="77777777" w:rsidR="00C61C97" w:rsidRDefault="00C61C97" w:rsidP="005C252F">
      <w:r>
        <w:separator/>
      </w:r>
    </w:p>
  </w:endnote>
  <w:endnote w:type="continuationSeparator" w:id="0">
    <w:p w14:paraId="64B67F81" w14:textId="77777777" w:rsidR="00C61C97" w:rsidRDefault="00C61C97" w:rsidP="005C2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1472" w14:textId="77777777" w:rsidR="00C61C97" w:rsidRDefault="00C61C97" w:rsidP="005C252F">
      <w:r>
        <w:separator/>
      </w:r>
    </w:p>
  </w:footnote>
  <w:footnote w:type="continuationSeparator" w:id="0">
    <w:p w14:paraId="09282E07" w14:textId="77777777" w:rsidR="00C61C97" w:rsidRDefault="00C61C97" w:rsidP="005C2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2F"/>
    <w:rsid w:val="005C252F"/>
    <w:rsid w:val="007931EE"/>
    <w:rsid w:val="00C6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325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5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5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5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5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