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971E" w14:textId="77777777" w:rsidR="00016718" w:rsidRDefault="00016718">
      <w:r>
        <w:t xml:space="preserve">太上感應篇　　悟道法師主講　　（第二集）　　</w:t>
      </w:r>
      <w:r>
        <w:t>2018/8/19</w:t>
      </w:r>
      <w:r>
        <w:t xml:space="preserve">　　台灣台北國際會議中心　　檔名：</w:t>
      </w:r>
      <w:r>
        <w:t xml:space="preserve">WD19-033-0002 </w:t>
      </w:r>
    </w:p>
    <w:p w14:paraId="3DED0FC6" w14:textId="77777777" w:rsidR="00016718" w:rsidRDefault="00016718">
      <w:pPr>
        <w:pStyle w:val="a3"/>
      </w:pPr>
      <w:r>
        <w:t xml:space="preserve">　　尊敬的諸位法師、諸位同修大德、及網路前的同修，大家上午好。阿彌陀佛！我們昨天跟今天第一堂課，讀誦一遍《太上感應篇》。昨天讀完《感應篇》，跟大家學習印光祖師的「序文」，以及李炳南老居士給《太上感應篇》作的「新序」。昨天學習到「新序」，跟大家講了兩段，今天接著來學習下面的。</w:t>
      </w:r>
      <w:r>
        <w:t xml:space="preserve"> </w:t>
      </w:r>
    </w:p>
    <w:p w14:paraId="4A82E968" w14:textId="77777777" w:rsidR="00016718" w:rsidRDefault="00016718">
      <w:pPr>
        <w:pStyle w:val="a3"/>
      </w:pPr>
      <w:r>
        <w:t xml:space="preserve">　　昨天講的我們再念一遍，「重印太上感應篇直講序，內典有之：萬法因緣生，因者果之前因，緣者果之四緣，乾坤萬象，九界萬事，括而名之曰法，成法為果，凡果之成，何莫非由因緣也。」</w:t>
      </w:r>
      <w:r>
        <w:t xml:space="preserve"> </w:t>
      </w:r>
    </w:p>
    <w:p w14:paraId="1B4129C1" w14:textId="77777777" w:rsidR="00016718" w:rsidRDefault="00016718">
      <w:pPr>
        <w:pStyle w:val="a3"/>
      </w:pPr>
      <w:r>
        <w:t xml:space="preserve">　　「惟其事有顯有隱，有近有遠，智人能明其隱者遠者，常人僅能見其顯者近者而已。夫如是，佛始分五乘說教焉。人天凡乘，世間之因果，易見者也；菩薩聲緣聖乘，出世間之因果，難明者也。以眾生根器萬殊，權實必契乎機，是權為藉之以顯實，五為導之以歸一也。若必專談一乘，不設方便，猶不梯而樓，不花而果，其能登之人，能結之木，幾何哉。」昨天學習到這一段。</w:t>
      </w:r>
      <w:r>
        <w:t xml:space="preserve"> </w:t>
      </w:r>
    </w:p>
    <w:p w14:paraId="2DEB84F7" w14:textId="77777777" w:rsidR="00016718" w:rsidRDefault="00016718">
      <w:pPr>
        <w:pStyle w:val="a3"/>
      </w:pPr>
      <w:r>
        <w:t xml:space="preserve">　　今天再學習下面這段，「太上感應篇者，道家勸善之書。其文，尚樸不事浮華；其言，舉事以明功罪；婦孺能喻，雅俗不傷，苟非至頑至痴，聞之未或不興趨避之心，其輔世間風化，開人天之路，豈曰小補之哉。」《感應篇》道家勸善的善書，它的文章樸實不浮華，講得很具體、很實際。裡面所講的就舉出生活上這些事情，來給我們說明哪些是功，哪些是罪。所講的內容，以佛法來講就是身口意三業，我們沒有讀《感應篇》，做三時繫念每時都會念一遍懺悔偈，懺悔偈的第一句就是「往昔所造諸惡業」，那什麼是諸惡業？諸就是很多的意思，往昔，從無始劫以來到現在，我們所造作的惡業很多，這叫諸惡業。如果沒有讀《感應篇》，實在講我們念了懺悔偈，也不知道哪些是諸惡業，我們天天在造諸惡業，自己也不知道自己在造惡業。</w:t>
      </w:r>
      <w:r>
        <w:t xml:space="preserve"> </w:t>
      </w:r>
    </w:p>
    <w:p w14:paraId="3F58C5E2" w14:textId="77777777" w:rsidR="00016718" w:rsidRDefault="00016718">
      <w:pPr>
        <w:pStyle w:val="a3"/>
      </w:pPr>
      <w:r>
        <w:t xml:space="preserve">　　所以讀了《感應篇》，念了懺悔偈才有個概念，有概念也不是說我們馬上就能改過來，要先有個概念，這個概念深了，深刻了才能夠起作用。實際的身口意三業行為去做個改變，就是懺悔、改過。如果不讀，我們念往昔所造諸惡業，哪些是諸惡業？我沒有惡業，所以我們必須讀《感應篇》。這是淨老和尚最近提倡的三根之一，講因果教育特別重要。所以舉事以明功罪，我們才知道哪些是惡，哪些是善。一般讀了，婦孺皆能喻，不是讀很多書的這些婦人、小孩，讀了之後大家都很容易明白。雅俗不傷，有學問的人讀也可以，我們一般人也可以。讀了這個，就是說除非他是很頑固的、很愚痴的人，他不接受、他不相信。如果稍稍有善根，沒有人不想趨吉避凶，我們人之常情，大家都希望得到吉祥，避開凶災。照《感應篇》去修，我們真正就可以趨吉避凶。所以輔助世間風化，就是社會的治安。開啟人天的善路，豈曰小補之哉，不是說小小的幫助，是很大的幫助。</w:t>
      </w:r>
      <w:r>
        <w:t xml:space="preserve"> </w:t>
      </w:r>
    </w:p>
    <w:p w14:paraId="4BAC33E3" w14:textId="77777777" w:rsidR="00016718" w:rsidRDefault="00016718">
      <w:pPr>
        <w:pStyle w:val="a3"/>
      </w:pPr>
      <w:r>
        <w:t xml:space="preserve">　　我們再講下面，「吾教拘墟之士，以其為有漏之業，且言自教外，多藐而忽之，甚則譏淨宗印祖，序而流通。噫！未之思也。」吾教就講佛教，拘墟就是有人走過現在已經荒廢的地方，墟就好像廢墟一樣，房子沒有人住。這是講佛教界的佛弟子，他拘泥在荒廢的地方，以為《感應篇》不是佛經，是人天有漏的善業。且言自教外，佛教以外的道教，佛弟子為什麼要去學？所以佛弟子看到《感應篇》都藐視而疏忽。淨</w:t>
      </w:r>
      <w:r>
        <w:lastRenderedPageBreak/>
        <w:t>宗十三祖印光祖師他提倡，甚至譏笑印祖，為什麼一代祖師，還要給《感應篇》作序文來流通？佛教界現在還是大有人在，出家在家都有，他不屑一顧。噫！未之思也，噫是感嘆，沒有好好去思考這個事情。「其肯為有漏善者，已涉人天之乘，再善誘而進之，得非為佛乘之津梁歟。」如果一個人他可以先修有漏的善業，人天善法，他已經步入人天乘，再善巧方便引導他，進一步提升出世間的佛法。這豈不是佛乘津梁的一個前方便！實在講沒有人天的基礎，要提升也辦不到，所以它是個津梁。</w:t>
      </w:r>
      <w:r>
        <w:t xml:space="preserve"> </w:t>
      </w:r>
    </w:p>
    <w:p w14:paraId="284F5B91" w14:textId="77777777" w:rsidR="00016718" w:rsidRDefault="00016718">
      <w:pPr>
        <w:pStyle w:val="a3"/>
      </w:pPr>
      <w:r>
        <w:t xml:space="preserve">　　「況佛事門中，不捨一法，他人有善，贊而成之，契機隨緣，正大權之所以普攝也。」在佛法當中不捨一法，其他的宗教有善事、善行、善言，佛都會隨喜讚歎而成就。契機隨緣，契合他的根機隨順善緣，正是大權之所以普攝，大開權巧方便之門，可以普攝群機。「昔蕅益大師，嘗治周易孟子；夢顏開士，著有陰騭文廣義。一大藏教，每有不輕婆羅門之誡，莫非同其善也，與其進也。」蕅益祖師是中國佛教淨宗第九代祖師，治就是治學，《周易》是《易經》，還有四書《孟子》，所以蕅益祖師他有《四書蕅益解》，註解四書，你看他是佛門淨宗一代祖師，他也沒有廢棄儒道世間的善法。清朝夢顏開士，就是周安士居士著有《陰騭文廣義》，《安士全書》就是他編的。一大藏教，就是佛在世的時候，也每每不輕視婆羅門教的教誡，只要它是善的，符合十善，雖然是其他宗教，佛也向他們學習，隨喜讚歎，不輕視。因為同善，勸善規過都相同，所以不能因為說它不是佛教，它講善的我就不接受，這是不對的，只要講到善都要接受。</w:t>
      </w:r>
      <w:r>
        <w:t xml:space="preserve"> </w:t>
      </w:r>
    </w:p>
    <w:p w14:paraId="077883D3" w14:textId="77777777" w:rsidR="00016718" w:rsidRDefault="00016718">
      <w:pPr>
        <w:pStyle w:val="a3"/>
      </w:pPr>
      <w:r>
        <w:t xml:space="preserve">　　「如斯，則善吾善之，進吾進之也。」這有善大家一起來學，所以淨老和尚現在聯合國教科文組織，天天講「神愛世人」。每個宗教都節錄它的善言善語，聯合國的大使大家聽了非常歡喜。這個書有中英文翻譯的，特別在英國，我聽英國流通處說，這個書銷路很大，很多西洋人都很喜歡請這個書，從來沒有看過這樣的講法。「夫欲，惡事也，尚可借作勾牽。」佛法有一句話講，「先以欲勾牽，後令入佛智」，欲就是不好的，欲望，欲是不好的，我們尚且可以借用它來誘導眾生入佛法。「是篇，善言也」，《感應篇》是善言，「烏得不宜作津梁乎？」這是善言善語，怎麼不可以做為修學佛法的津梁？欲那個惡法，都可以做為入佛門的一個善巧方便，一個手段。這《感應篇》是善言，惡法都可以利用，怎麼說善言善語反而不可以？沒有這個道理。</w:t>
      </w:r>
      <w:r>
        <w:t xml:space="preserve"> </w:t>
      </w:r>
    </w:p>
    <w:p w14:paraId="3565E755" w14:textId="77777777" w:rsidR="00016718" w:rsidRDefault="00016718">
      <w:pPr>
        <w:pStyle w:val="a3"/>
      </w:pPr>
      <w:r>
        <w:t xml:space="preserve">　　「嘗思地藏本願經，所說大都世間因果，考其時教，當世尊將入涅槃之際。嗚呼！華嚴、法華兩大經王，距時幾四十年，其間開演群經，何止恆沙妙義，而後復懸懸於因果者，寧無深意存焉。」這個月的月底最後一天是地藏菩薩的聖誕。《地藏菩薩本願經》是佛入涅槃前三個月，上升到忉利天為他母親說法，就是說《地藏菩薩本願經》，報母恩，所以《地藏經》是佛門的孝經。《地藏經》講的大部分都世間因果，什麼是善、什麼是惡。佛在什麼時候講？快入涅槃的時候講的，就是遺教經。好像父母快要過世了，重要的遺囑交代給子孫，那遺囑就非常重要，所以《地藏經》非常重要，講因果。《華嚴》跟《法華》這都是一乘經典，這當中世尊所講的，幾乎相差四十年這麼長的時間。這當中佛講那麼多經，何止恆沙妙義，為什麼快入涅槃還特別提出因果？從這個地方去看，佛在這個當中，怎麼沒有很深的意義在？一定有它的深意在。</w:t>
      </w:r>
      <w:r>
        <w:t xml:space="preserve"> </w:t>
      </w:r>
    </w:p>
    <w:p w14:paraId="21686BC4" w14:textId="77777777" w:rsidR="00016718" w:rsidRDefault="00016718">
      <w:pPr>
        <w:pStyle w:val="a3"/>
      </w:pPr>
      <w:r>
        <w:t xml:space="preserve">　　「縱觀今之宿學，每學進而道退，辯給空有，而鮮及因果，甚則恥出諸口，浸尋有撥無之概。學風如是，反不若未及門者，謹願有功。世尊後說地藏，或古今有同慨</w:t>
      </w:r>
      <w:r>
        <w:lastRenderedPageBreak/>
        <w:t>耶！」現在學佛的人講的談玄說妙，好像學問進步，道心退步，都是講空講有，很少講因果，甚至不肯出口，大概差不多接近撥無因果。如果學風是這樣的話，反而不如沒有入門的，那個相信因果。所以世尊到最後還說《地藏經》，我們就可想而知，為什麼？就是強調因果教育的重要。不然你講得天花亂墜，真的不切實際。</w:t>
      </w:r>
      <w:r>
        <w:t xml:space="preserve"> </w:t>
      </w:r>
    </w:p>
    <w:p w14:paraId="3DFB0769" w14:textId="77777777" w:rsidR="00016718" w:rsidRDefault="00016718">
      <w:pPr>
        <w:pStyle w:val="a3"/>
      </w:pPr>
      <w:r>
        <w:t xml:space="preserve">　　「予友金天鐸學士，淨宗篤行人也，其先世為名宦，恪奉是篇，並遺囑學士，印行勸世，學士徵序於予，予曰：孝哉！是能行先人之志者也。」李炳老講他的朋友金天鐸學士，他也是修淨宗很用功的一個人，很忠厚老實的人。他的先輩是有名的大官，祖先都是奉持《太上感應篇》，並且交代金學士要印行來勸世，要印來流通、來勸化。金學士就請李炳老寫序，李炳老很讚歎，讚歎他很有孝心，能夠實行先人的遺志。「繼而問曰：伊誰之贈？曰贈信之者。予曰否，未若贈昧之者，蓋信者必有行，如健夫復知攝生，可緩與之論醫；昧者或邪見，如尪弱而膺沉疴，不可緩於藥石也。至有通三藏，誦萬偈，未破半箇蒲團，未曾斷一貫念珠，輒爾高睨大談，墮豁達空，是謂昧中之昧，乃病將及膏肓者，與之醫藥，尤應先之又先也。」他說印出來要送給誰？送給相信的人。李炳老說不是，送給那個不信的人，那個比較嚴重，那快病入膏肓，快死掉；信的人身體很健康，他慢一點沒關係。要送給不信的，因為他快死了，要緊急。</w:t>
      </w:r>
      <w:r>
        <w:t xml:space="preserve"> </w:t>
      </w:r>
    </w:p>
    <w:p w14:paraId="62580C60" w14:textId="77777777" w:rsidR="00016718" w:rsidRDefault="00016718">
      <w:pPr>
        <w:pStyle w:val="a3"/>
      </w:pPr>
      <w:r>
        <w:t xml:space="preserve">　　「夫因果不落不昧，一言之升墮，誠以言為心聲，而升墮是心所造也。此怠敬之機，寧不畏哉！況因果不有畛域，一其緣生，非若指心見性，吾教獨宗，斥彼之言，已近撥無矣，予故曰未若與昧。」就是這個意思，昧就是不信的人，先給這個人、這樣的人。「學士瞿然曰」，瞿就是很驚訝，看著李炳老。「有是哉！予復莊辭以堅其信，獲報曰諾諾，遂欣然而為之序。」金學士他很驚訝，怎麼會送不相信的人？李炳老再以很莊重的言辭堅定他的信心，就是要送那些不相信的人。後來他終於接受，諾諾就是順從了。所以李炳老看到他接受，就歡喜給他作這個序文。這個序文是「一九六四年」，印光祖師作序文是一九二八年，它這是一九六四年。「癸卯仲秋」，中秋的時候在台中他的寓所所寫的。</w:t>
      </w:r>
      <w:r>
        <w:t xml:space="preserve"> </w:t>
      </w:r>
    </w:p>
    <w:p w14:paraId="66DFB8C8" w14:textId="77777777" w:rsidR="00016718" w:rsidRDefault="00016718">
      <w:pPr>
        <w:pStyle w:val="a3"/>
      </w:pPr>
      <w:r>
        <w:t xml:space="preserve">　　好，《感應篇》印祖跟李炳老的序文，簡單跟大家學習到這裡，時間的關係，不能詳細跟大家解說。等一下有祭祖的典禮，就先跟大家分享到此地，以後有因緣再來詳細的學習。祝大家福慧增長，六時吉祥，身心安康，法喜充滿。阿彌陀佛！</w:t>
      </w:r>
      <w:r>
        <w:t xml:space="preserve"> </w:t>
      </w:r>
    </w:p>
    <w:p w14:paraId="2FC0BECD" w14:textId="77777777" w:rsidR="00016718" w:rsidRDefault="00016718">
      <w:pPr>
        <w:pStyle w:val="a3"/>
      </w:pPr>
      <w:r>
        <w:t xml:space="preserve">　　</w:t>
      </w:r>
    </w:p>
    <w:sectPr w:rsidR="000167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B1181" w14:textId="77777777" w:rsidR="00016718" w:rsidRDefault="00016718" w:rsidP="00627475">
      <w:r>
        <w:separator/>
      </w:r>
    </w:p>
  </w:endnote>
  <w:endnote w:type="continuationSeparator" w:id="0">
    <w:p w14:paraId="39D67990" w14:textId="77777777" w:rsidR="00016718" w:rsidRDefault="00016718" w:rsidP="0062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D7BE7" w14:textId="77777777" w:rsidR="00016718" w:rsidRDefault="00016718" w:rsidP="00627475">
      <w:r>
        <w:separator/>
      </w:r>
    </w:p>
  </w:footnote>
  <w:footnote w:type="continuationSeparator" w:id="0">
    <w:p w14:paraId="472970E9" w14:textId="77777777" w:rsidR="00016718" w:rsidRDefault="00016718" w:rsidP="00627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75"/>
    <w:rsid w:val="00016718"/>
    <w:rsid w:val="0062747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8E8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