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D0A5" w14:textId="77777777" w:rsidR="001431A3" w:rsidRDefault="001431A3">
      <w:r>
        <w:t>緇門崇行錄淺述</w:t>
      </w:r>
      <w:r>
        <w:t>—</w:t>
      </w:r>
      <w:r>
        <w:t xml:space="preserve">門庭高峻　　悟道法師主講　　（第三十七集）　　</w:t>
      </w:r>
      <w:r>
        <w:t>2021/6/30</w:t>
      </w:r>
      <w:r>
        <w:t xml:space="preserve">　　台灣台北靈巖山寺雙溪小築　　檔名：</w:t>
      </w:r>
      <w:r>
        <w:t xml:space="preserve">WD20-053-0037 </w:t>
      </w:r>
    </w:p>
    <w:p w14:paraId="6609FC84" w14:textId="77777777" w:rsidR="001431A3" w:rsidRDefault="001431A3">
      <w:pPr>
        <w:pStyle w:val="a3"/>
      </w:pPr>
      <w:r>
        <w:t xml:space="preserve">　　《緇門崇行錄淺述．嚴正之行第二》。諸位同修，及網路前的同修，大家好。阿彌陀佛！請放掌。請大家翻開「嚴正之行第二」，六十九頁，我們從第二行：</w:t>
      </w:r>
      <w:r>
        <w:t xml:space="preserve"> </w:t>
      </w:r>
    </w:p>
    <w:p w14:paraId="28294519" w14:textId="77777777" w:rsidR="001431A3" w:rsidRDefault="001431A3">
      <w:pPr>
        <w:pStyle w:val="a3"/>
      </w:pPr>
      <w:r>
        <w:t xml:space="preserve">　　【門庭高峻】</w:t>
      </w:r>
      <w:r>
        <w:t xml:space="preserve"> </w:t>
      </w:r>
    </w:p>
    <w:p w14:paraId="524C8E32" w14:textId="77777777" w:rsidR="001431A3" w:rsidRDefault="001431A3">
      <w:pPr>
        <w:pStyle w:val="a3"/>
      </w:pPr>
      <w:r>
        <w:t xml:space="preserve">　　這個標題看起。請看下面的文：</w:t>
      </w:r>
      <w:r>
        <w:t xml:space="preserve"> </w:t>
      </w:r>
    </w:p>
    <w:p w14:paraId="5DF80441" w14:textId="77777777" w:rsidR="001431A3" w:rsidRDefault="001431A3">
      <w:pPr>
        <w:pStyle w:val="a3"/>
      </w:pPr>
      <w:r>
        <w:t xml:space="preserve">　　【古所稱門庭高峻者，如淨名示疾，諸阿羅漢俱云我不堪任詣彼問疾，文殊亦云：彼上人者難為酬對是也。嗣後宗門諸大老，或棒或喝，或豎指，或張弓，或垂一則語，如木札羹不可味，如太阿劍不可觸，如水中月不可執捉，非久參上士，莫敢登其門者，是之謂門庭高峻也。豈駕尊示威，厲聲作色之謂哉！】</w:t>
      </w:r>
      <w:r>
        <w:t xml:space="preserve"> </w:t>
      </w:r>
    </w:p>
    <w:p w14:paraId="0EC827A1" w14:textId="77777777" w:rsidR="001431A3" w:rsidRDefault="001431A3">
      <w:pPr>
        <w:pStyle w:val="a3"/>
      </w:pPr>
      <w:r>
        <w:t xml:space="preserve">　　這一則也是蓮池大師看到，當時在禪宗宗門裡面的一些情況。宗門『門庭高峻』，「門庭高峻」就是高不可攀，門庭很高峻，峻是嚴峻，像我們看到高山，很高聳，那是很難攀登上去的。這是一個形容，門庭就是門庭施設，就是每個道場有它的學風、道風，門庭施設不一樣。禪宗宗門它的門庭施設，它教學的方法就是這樣直指人心，見性成佛，單刀直入，沒有跟你囉嗦的。所以這裡蓮池大師解釋什麼叫門庭高峻，這當中不能誤會。所以『古所稱門庭高峻者』，古就是古大德，古人所講門庭高峻的意思。『如淨名示疾』，「淨名」就是維摩詰居士，我們大家都聽說過，有一部經叫《維摩詰經》，維摩詰是在家佛，釋迦牟尼是出家佛。所以當時印度一個示現出家佛，一個示現在家佛；維摩詰居士是在家佛的代表，釋迦牟尼是出家佛的代表。</w:t>
      </w:r>
      <w:r>
        <w:t xml:space="preserve"> </w:t>
      </w:r>
    </w:p>
    <w:p w14:paraId="2FA50230" w14:textId="77777777" w:rsidR="001431A3" w:rsidRDefault="001431A3">
      <w:pPr>
        <w:pStyle w:val="a3"/>
      </w:pPr>
      <w:r>
        <w:t xml:space="preserve">　　維摩詰居士有一天「示疾」，示疾就是示現生病了。這個生病，佛也就派下面的大弟子，目犍連、舍利弗、阿難尊者，這些諸大弟子去給他探望（探病），去看看他，現在身體哪裡不調和，生病了。『諸阿羅漢俱云』，「諸阿羅漢」就是這些弟子都是阿羅漢（證阿羅漢果），大家都說了，『我』，我們，『不堪任詣彼問疾』，「詣」就是前往，就是我們不能夠堪任（不能擔當）這個事情，去維摩詰居士那邊問候。為什麼？『文殊亦云』，文殊菩薩也說了，『彼上人者難為酬對是也』。文殊菩薩他是示現出家眾菩薩，智慧第一。他也說了，這位上人你去找他，你很難跟他應對。「酬對」就是說他跟你講一句話、問你一句話，你很難去答覆他的，你摸不著邊的。所以他們不敢去，去了到時候問我一句話，我答不上來，沒有辦法去應付他的這些問答。</w:t>
      </w:r>
      <w:r>
        <w:t xml:space="preserve"> </w:t>
      </w:r>
    </w:p>
    <w:p w14:paraId="6851B5D7" w14:textId="77777777" w:rsidR="001431A3" w:rsidRDefault="001431A3">
      <w:pPr>
        <w:pStyle w:val="a3"/>
      </w:pPr>
      <w:r>
        <w:t xml:space="preserve">　　下面就舉出為什麼維摩詰居士很難去酬對，因為他門庭很高，他講的都是直指人心的話，如果我們不是那個根性，也聽不懂，摸不到邊，不知道該如何是好。所以這些阿羅漢，你看證了阿羅漢果，他也不敢去了，因為阿羅漢還沒有明心見性，他只是斷見思惑，妄想、分別、執著他斷了第一個，見惑、思惑，執著斷了，證阿羅漢，超越六道。但是還有塵沙惑，還有無明惑，所以很難應對。這裡講『嗣後』，「嗣」就是一代一代的，從佛那邊一直傳下來，佛教傳到中國來。禪宗在印度，佛傳給迦葉，迦葉傳給阿難，阿難再往下一直傳，傳到第二十八代。在印度第二十八代，達摩，達摩是印度禪宗第二十八代祖師；達摩他再傳到中國來，達摩變成中國禪宗的初祖，二祖就是中國人，慧可，二祖以後一直到六祖都是中國人，他把這個禪傳過來了。這個</w:t>
      </w:r>
      <w:r>
        <w:lastRenderedPageBreak/>
        <w:t>傳就是「嗣後」，就是說這好像子嗣一樣，我們講後代，佛法也是這樣有傳人，它一直傳。傳到中國的這些禪宗，『宗門諸大老』，禪宗明心見性、大徹大悟這些大老，「大老」就是禪宗長老。</w:t>
      </w:r>
      <w:r>
        <w:t xml:space="preserve"> </w:t>
      </w:r>
    </w:p>
    <w:p w14:paraId="21B9E11C" w14:textId="77777777" w:rsidR="001431A3" w:rsidRDefault="001431A3">
      <w:pPr>
        <w:pStyle w:val="a3"/>
      </w:pPr>
      <w:r>
        <w:t xml:space="preserve">　　『或棒或喝』，我們常常也聽到佛門一句話，「當頭棒喝」，當頭一棒給你呵斥。『或豎指』，或給你比一個手勢，豎一個姆指，你不曉得什麼意思。『或張弓』，手伸開弓箭像要用箭射人一樣。『或垂一則語』，「垂一則語」就是講一句話，禪宗公案我們看很多，一千七百多則，講的話不一樣，那個沒有理路的。比如說以前高峰妙禪師去參禪，他的師父就問他，你怎麼拖一個死屍來？你怎麼拖著一具屍體來我這裡？那個時候他提起疑情了，他回去就是參一個：「我怎麼拖一個屍體？」這是舉出一個例子，其他很多。禪宗那種教學方法、手段不一樣，他就是要誘導參禪的人他開悟的。但是如果不是那個根器的，他開不了悟。像禪宗，你去參，禪師問你從哪裡來？你開口一答，那個香板就打下去了；他再問，你又要答，又打下去；後面再問，問了都被打，現在不要回答就好了，不回答還是打下去。這個當中就是逼他提起疑情，他開悟的關鍵就是提起疑情。疑情跟懷疑不一樣的意思，它是疑情，參那一個。</w:t>
      </w:r>
      <w:r>
        <w:t xml:space="preserve"> </w:t>
      </w:r>
    </w:p>
    <w:p w14:paraId="72FDA724" w14:textId="77777777" w:rsidR="001431A3" w:rsidRDefault="001431A3">
      <w:pPr>
        <w:pStyle w:val="a3"/>
      </w:pPr>
      <w:r>
        <w:t xml:space="preserve">　　所以如果不是那個根器，你打死了也沒有用，他也不會開悟。所以他還是適合那種根器的，所以六祖講，他接引的是上上根人。上根的都沒分，上上根才行。所以維摩詰居士也是一樣，他示現疾病，這些阿羅漢都不敢去，證阿羅漢果還不敢去。也就是像禪宗的祖師一樣，問他一句沒有理路的話，他們答不上來，不曉得該怎麼辦才好，所以大家都不敢去了。後來還是去了，還是有派舍利弗、目犍連他們這些諸大弟子，還是硬著頭皮去了。所以禪宗的這些話，它沒有理路的，你不能去思惟、去想像的，想像這句話是什麼意思、什麼道理，你沒辦法去想的，它是叫你參的。</w:t>
      </w:r>
      <w:r>
        <w:t xml:space="preserve"> </w:t>
      </w:r>
    </w:p>
    <w:p w14:paraId="08020439" w14:textId="77777777" w:rsidR="001431A3" w:rsidRDefault="001431A3">
      <w:pPr>
        <w:pStyle w:val="a3"/>
      </w:pPr>
      <w:r>
        <w:t xml:space="preserve">　　『如木札羹不可味』，好像木片去煮羹，你吃了沒味道。『如太阿劍不可觸』，「太阿劍」，非常鋒利，你手一摸就流血了。中峰國師也講，「如太阿劍，橫按當軒，如大火輪，星騰焰熾，萬物攖之則燎，觸之則傷」，就是這個意思。中峰國師他是大徹大悟的，所以他這些開示的話都是禪機。『如水中月不可執捉』，水裡面的月亮，你抓也抓不到。『非久參上士，莫敢登其門者，是之謂門庭高峻也。』宗門，如果你不是一個久參的上師，參得差不多快要開悟的，不敢隨便去了，自己參到還有一些不明瞭的，所以去參學請禪師來指點。所以當頭棒喝，他已經參到一定的程度才敢去宗門，這樣才是門庭高峻的意思，是指這個。</w:t>
      </w:r>
      <w:r>
        <w:t xml:space="preserve"> </w:t>
      </w:r>
    </w:p>
    <w:p w14:paraId="5068A0CC" w14:textId="77777777" w:rsidR="001431A3" w:rsidRDefault="001431A3">
      <w:pPr>
        <w:pStyle w:val="a3"/>
      </w:pPr>
      <w:r>
        <w:t xml:space="preserve">　　後來有一些人，他就學那個樣子，所以這個禪跟密很容易被冒充就是這樣，因為它沒有理路，隨便他講，他也依樣畫葫蘆，他也隨便去講一句，其實他自己也沒開悟，講了人家是更不能開悟，也裝模作樣，也當頭棒喝。這個我記得在大陸上我也碰到過，厲聲、作色，聲音很嚴厲的，表情很嚴肅的，厲聲、作色，那是裝模作樣，不是真的。所以這就不是叫門庭高峻，門庭高峻的意思要搞清楚，真正明心見性、大徹大悟，他是要誘導參禪的人開悟的，但是每個人他的根器不一樣，每個人的因緣不一樣，所以禪師，每一個去參禪的、去請教禪師的，他跟他的對話也不一樣，不是每一個人都一樣，都不一樣。因為根機不一樣，你要契合他的機，對他才有幫助。</w:t>
      </w:r>
      <w:r>
        <w:t xml:space="preserve"> </w:t>
      </w:r>
    </w:p>
    <w:p w14:paraId="58EDA4C0" w14:textId="77777777" w:rsidR="001431A3" w:rsidRDefault="001431A3">
      <w:pPr>
        <w:pStyle w:val="a3"/>
      </w:pPr>
      <w:r>
        <w:t xml:space="preserve">　　你說南泉斬貓，貓抓來，把貓殺了，那個人開悟了。如果你去學那個樣子，你也沒有開悟，把貓抓來殺了，那造殺業了，不一樣。還有劈佛像的，看起來就是跟我們</w:t>
      </w:r>
      <w:r>
        <w:lastRenderedPageBreak/>
        <w:t>一般不一樣的，非常特殊的。如果你不是真正那種明心見性、大徹大悟的人，你跟他學，你就造罪業了，這個不能不懂。所以蓮池大師很慈悲，特別給我們說明，你不能不懂，裝模作樣。其實宗師他接人也是平實的，不要看到那些棒喝，棒喝他是在教學，他是有針對性的，不是說看到什麼人都是這樣，那不是這樣的，所以這些我們都要搞清楚。</w:t>
      </w:r>
      <w:r>
        <w:t xml:space="preserve"> </w:t>
      </w:r>
    </w:p>
    <w:p w14:paraId="2FD63025" w14:textId="77777777" w:rsidR="001431A3" w:rsidRDefault="001431A3">
      <w:pPr>
        <w:pStyle w:val="a3"/>
      </w:pPr>
      <w:r>
        <w:t xml:space="preserve">　　這個公案也就是給我們講，不管哪一宗、哪一個法門，最主要的就是說要有真參實學，不能只求一個表面，表面好像弄得滿像的，但是實際上不是。所以我們學習還是要務實、平實的，參禪也好、念佛也好、持咒也好，還是要務實的，真參實學，那才有真實的受用。如果裝裝模樣、裝裝門面，這是沒有真實受用的，幫助不了自己，也幫助不了別人，這一點我們必須了解。</w:t>
      </w:r>
      <w:r>
        <w:t xml:space="preserve"> </w:t>
      </w:r>
    </w:p>
    <w:p w14:paraId="4701BF7A" w14:textId="77777777" w:rsidR="001431A3" w:rsidRDefault="001431A3">
      <w:pPr>
        <w:pStyle w:val="a3"/>
      </w:pPr>
      <w:r>
        <w:t xml:space="preserve">　　好，今天這個公案就跟大家分享到這裡，祝大家福慧增長，法喜充滿。阿彌陀佛！　　</w:t>
      </w:r>
    </w:p>
    <w:sectPr w:rsidR="001431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77726" w14:textId="77777777" w:rsidR="001431A3" w:rsidRDefault="001431A3" w:rsidP="00B32A02">
      <w:r>
        <w:separator/>
      </w:r>
    </w:p>
  </w:endnote>
  <w:endnote w:type="continuationSeparator" w:id="0">
    <w:p w14:paraId="25B89FE5" w14:textId="77777777" w:rsidR="001431A3" w:rsidRDefault="001431A3" w:rsidP="00B32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B0223" w14:textId="77777777" w:rsidR="001431A3" w:rsidRDefault="001431A3" w:rsidP="00B32A02">
      <w:r>
        <w:separator/>
      </w:r>
    </w:p>
  </w:footnote>
  <w:footnote w:type="continuationSeparator" w:id="0">
    <w:p w14:paraId="62501350" w14:textId="77777777" w:rsidR="001431A3" w:rsidRDefault="001431A3" w:rsidP="00B32A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A02"/>
    <w:rsid w:val="001431A3"/>
    <w:rsid w:val="007931EE"/>
    <w:rsid w:val="00B3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E1D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2A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A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A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A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