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270E" w14:textId="77777777" w:rsidR="00AA2DBE" w:rsidRDefault="00AA2DBE">
      <w:r>
        <w:t>緇門崇行錄淺述</w:t>
      </w:r>
      <w:r>
        <w:t>—</w:t>
      </w:r>
      <w:r>
        <w:t xml:space="preserve">居喪不食　　悟道法師主講　　（第五十四集）　　</w:t>
      </w:r>
      <w:r>
        <w:t>2021/7/17</w:t>
      </w:r>
      <w:r>
        <w:t xml:space="preserve">　　台灣台北靈巖山寺雙溪小築　　檔名：</w:t>
      </w:r>
      <w:r>
        <w:t xml:space="preserve">WD20-053-0054 </w:t>
      </w:r>
    </w:p>
    <w:p w14:paraId="73CA29D6" w14:textId="77777777" w:rsidR="00AA2DBE" w:rsidRDefault="00AA2DBE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《緇門崇行錄淺述．孝親之行第四》。諸位同修，及網路前的同修，大家好。阿彌陀佛！請放掌。請大家翻開《緇門崇行錄淺述．孝親之行第四》，一百零八頁，從倒數第四行：</w:t>
      </w:r>
      <w:r>
        <w:t xml:space="preserve"> </w:t>
      </w:r>
    </w:p>
    <w:p w14:paraId="2DB3EA35" w14:textId="77777777" w:rsidR="00AA2DBE" w:rsidRDefault="00AA2DBE">
      <w:pPr>
        <w:pStyle w:val="a3"/>
      </w:pPr>
      <w:r>
        <w:t xml:space="preserve">　　【居喪不食】</w:t>
      </w:r>
      <w:r>
        <w:t xml:space="preserve"> </w:t>
      </w:r>
    </w:p>
    <w:p w14:paraId="6A2CC9A5" w14:textId="77777777" w:rsidR="00AA2DBE" w:rsidRDefault="00AA2DBE">
      <w:pPr>
        <w:pStyle w:val="a3"/>
      </w:pPr>
      <w:r>
        <w:t xml:space="preserve">　　看下面的文：</w:t>
      </w:r>
      <w:r>
        <w:t xml:space="preserve"> </w:t>
      </w:r>
    </w:p>
    <w:p w14:paraId="5340A957" w14:textId="77777777" w:rsidR="00AA2DBE" w:rsidRDefault="00AA2DBE">
      <w:pPr>
        <w:pStyle w:val="a3"/>
      </w:pPr>
      <w:r>
        <w:t xml:space="preserve">　　【梁法雲，陽羨人。七歲出家，為莊嚴寺寶亮弟子，雋朗英秀。於妙音寺開法華、淨名二經，學者海湊。性誠孝，勞於色養；居母憂，毀瘠過禮，累日不食。旻法師謂曰：「聖人制禮，賢者俯就，不肖者跂及，且毀不滅性尚出儒宗，況佛有至言：『欲報生恩，近則時奉顏儀，遠則啟發菩提以導神識。』宜速思遠理，使有成津，何可恣情，同於細近？」雲乃割哀，微近饘粥。】</w:t>
      </w:r>
      <w:r>
        <w:t xml:space="preserve"> </w:t>
      </w:r>
    </w:p>
    <w:p w14:paraId="72AD45BF" w14:textId="77777777" w:rsidR="00AA2DBE" w:rsidRDefault="00AA2DBE">
      <w:pPr>
        <w:pStyle w:val="a3"/>
      </w:pPr>
      <w:r>
        <w:t xml:space="preserve">　　這個是梁朝那個時候的公案，梁朝楊都光宅寺法雲法師，『陽羨』就是江蘇省的宜興縣，宜興做這些陶瓷茶壺的，他是那裡的人。『七歲出家』，很小就出家了，他是去禮拜莊嚴寺寶亮法師為師。他的長相很英俊清秀，才華出眾。曾經在妙音寺開講《法華經》和《維摩詰經》」，『淨名』就是《維摩詰經》。很多學人從四方聚集來聽，都來聽他講經。</w:t>
      </w:r>
      <w:r>
        <w:t xml:space="preserve"> </w:t>
      </w:r>
    </w:p>
    <w:p w14:paraId="7C5993BD" w14:textId="77777777" w:rsidR="00AA2DBE" w:rsidRDefault="00AA2DBE">
      <w:pPr>
        <w:pStyle w:val="a3"/>
      </w:pPr>
      <w:r>
        <w:t xml:space="preserve">　　雲法師性至孝，他的本性非常的孝順，服侍父母很殷勤，『勞於色養』就是說奉養父母非常的勤勞。有一天母親過世了，『居母憂』，「憂」就是母親過世了，悲哀過度，好幾天沒有吃東西，瘦得不成人形。『累日不食』，很多天都沒有吃東西，人就消瘦了。旻法師就跟他講，說聖人制訂禮節規矩，『聖人制禮』，賢能的人要壓低理想去遷就合禮，不賢能的人就要勉強向上追進了。這個『跂』跟企望的意思一樣。儒家尚且有哀傷不得致命的規定，《禮記》裡面有講到，父母過世難免哀傷，但是哀傷，『毀不滅性，不以死傷生也』，但也不能哀傷過度，傷害到身體。何況佛有至理名言說，要報父母生養的大恩，淺近的就要盡心盡力的侍奉供養，讓父母得到歡喜；長遠的更要啟發他們發菩提心，把父母的神識引入正法。所以旻法師就勸他，你應該從長遠這一方面去著想，使父母可以得到超度，怎麼可以像一般世俗淺見之輩一樣，一味的悲哀絕食？</w:t>
      </w:r>
      <w:r>
        <w:t xml:space="preserve"> </w:t>
      </w:r>
    </w:p>
    <w:p w14:paraId="1385B478" w14:textId="77777777" w:rsidR="00AA2DBE" w:rsidRDefault="00AA2DBE">
      <w:pPr>
        <w:pStyle w:val="a3"/>
      </w:pPr>
      <w:r>
        <w:t xml:space="preserve">　　雲法師聽到旻法師給他勸告，他才開始吃一點稀飯，開始吃一點東西。下面是蓮池大師的讚歎：</w:t>
      </w:r>
      <w:r>
        <w:t xml:space="preserve"> </w:t>
      </w:r>
    </w:p>
    <w:p w14:paraId="0B692E59" w14:textId="77777777" w:rsidR="00AA2DBE" w:rsidRDefault="00AA2DBE">
      <w:pPr>
        <w:pStyle w:val="a3"/>
      </w:pPr>
      <w:r>
        <w:t xml:space="preserve">　　【贊曰：「曾子之母死，水漿不入於口者七日，即雲公之居喪，雖曾子何加焉？語曰：『釋氏棄其親。』豈理也哉？」】</w:t>
      </w:r>
      <w:r>
        <w:t xml:space="preserve"> </w:t>
      </w:r>
    </w:p>
    <w:p w14:paraId="5D23BC23" w14:textId="77777777" w:rsidR="00AA2DBE" w:rsidRDefault="00AA2DBE">
      <w:pPr>
        <w:pStyle w:val="a3"/>
      </w:pPr>
      <w:r>
        <w:t xml:space="preserve">　　這是蓮池大師對法雲法師的一個讚歎，說在儒家的曾子（是孔子的傳人），他母親死了，他七天都不吃東西，吃不下，也不能喝水。像法雲法師死了母親，守喪絕食，曾子也比不上！有人說，佛教徒都不顧自己的父母，這句話能算對嗎？</w:t>
      </w:r>
      <w:r>
        <w:t xml:space="preserve"> </w:t>
      </w:r>
    </w:p>
    <w:p w14:paraId="3EF56035" w14:textId="77777777" w:rsidR="00AA2DBE" w:rsidRDefault="00AA2DBE">
      <w:pPr>
        <w:pStyle w:val="a3"/>
      </w:pPr>
      <w:r>
        <w:lastRenderedPageBreak/>
        <w:t xml:space="preserve">　　所以這個公案也就是給出家人講，就是出家了不是說棄父母於不顧，不是說不管了。特別是，如果家裡沒有兄弟姐妹，只有一個兒子，他出家了，父母老了，他還是要供養，還是要照顧。如果兄弟姐妹可以分攤，大家就都來發心要照顧父母。這個公案也就是給出家人講，不是說出家人就不用照顧父母，父母死了也不管，不是這樣的。出家了還是要照顧父母，而且出家要超度父母，比在家這個孝就更殊勝了。這是在家一般沒有學佛的世間人，他的盡孝總不如學佛的人，因為學佛的人他還包括超度。像《地藏菩薩本願經》就是佛門的孝經，所以《地藏經》不能不讀，因為它是孝經。世出世間法都建立在孝道的基礎上，不是說你出家了就不用孝了。實在講，出家那個孝要比一般世間人還要高、還要圓滿，這個才是最大的孝。如果勸父母信願念佛，求生西方，那是究竟圓滿的大孝，不然世間，你做到怎麼樣的孝，還是不圓滿，所以出世間法的孝是大孝中的大孝。這個地方也講出，出家人不是沒有義務照顧父母，還是要照顧，還是要盡世間的孝。</w:t>
      </w:r>
      <w:r>
        <w:t xml:space="preserve"> </w:t>
      </w:r>
    </w:p>
    <w:p w14:paraId="6678B4C2" w14:textId="77777777" w:rsidR="00AA2DBE" w:rsidRDefault="00AA2DBE">
      <w:pPr>
        <w:pStyle w:val="a3"/>
      </w:pPr>
      <w:r>
        <w:t xml:space="preserve">　　好，這條公案我們就學習到這裡。祝大家福慧增長，法喜充滿，阿彌陀佛！　　</w:t>
      </w:r>
    </w:p>
    <w:sectPr w:rsidR="00AA2D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53FE" w14:textId="77777777" w:rsidR="00AA2DBE" w:rsidRDefault="00AA2DBE" w:rsidP="00D55820">
      <w:r>
        <w:separator/>
      </w:r>
    </w:p>
  </w:endnote>
  <w:endnote w:type="continuationSeparator" w:id="0">
    <w:p w14:paraId="15068B1C" w14:textId="77777777" w:rsidR="00AA2DBE" w:rsidRDefault="00AA2DBE" w:rsidP="00D55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26C5" w14:textId="77777777" w:rsidR="00AA2DBE" w:rsidRDefault="00AA2DBE" w:rsidP="00D55820">
      <w:r>
        <w:separator/>
      </w:r>
    </w:p>
  </w:footnote>
  <w:footnote w:type="continuationSeparator" w:id="0">
    <w:p w14:paraId="512CDA43" w14:textId="77777777" w:rsidR="00AA2DBE" w:rsidRDefault="00AA2DBE" w:rsidP="00D55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20"/>
    <w:rsid w:val="007931EE"/>
    <w:rsid w:val="00AA2DBE"/>
    <w:rsid w:val="00D5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5B5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