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DFCF" w14:textId="77777777" w:rsidR="00C367AF" w:rsidRDefault="00C367AF">
      <w:r>
        <w:t>小故事大智慧</w:t>
      </w:r>
      <w:r>
        <w:t>—</w:t>
      </w:r>
      <w:r>
        <w:t>季札掛劍　　蔡禮旭老師主講　　（第四十一集）　　檔名：</w:t>
      </w:r>
      <w:r>
        <w:t xml:space="preserve">65-164-0041 </w:t>
      </w:r>
    </w:p>
    <w:p w14:paraId="2B52E483" w14:textId="77777777" w:rsidR="00C367AF" w:rsidRDefault="00C367AF">
      <w:pPr>
        <w:pStyle w:val="a3"/>
      </w:pPr>
      <w:r>
        <w:t xml:space="preserve">　　在春秋時代，有個人叫季札。季札要代表吳國出使魯國，這是屬於外交工作。在出使的途中，經過徐國，徐國國君請他吃飯。在吃飯過程中，國君就一直盯著季札腰帶上的寶劍。季札看到國君的眼神，就知道他很喜愛這口寶劍，這是「視思明」，看了以後他就明白了。但是按照禮儀來說，代表國家的使臣都必須佩戴寶劍。所以，他心裡就暗想，等我完成任務以後，再將這把劍送給他。</w:t>
      </w:r>
      <w:r>
        <w:t xml:space="preserve"> </w:t>
      </w:r>
    </w:p>
    <w:p w14:paraId="2615470A" w14:textId="77777777" w:rsidR="00C367AF" w:rsidRDefault="00C367AF">
      <w:pPr>
        <w:pStyle w:val="a3"/>
      </w:pPr>
      <w:r>
        <w:t xml:space="preserve">　　季札出使魯國回來，又經過徐國，就去把劍送給徐國國君，不巧國君已經去世了。季札就立刻趕到國君的墓前給他行禮。行完禮之後，就把自己的寶劍掛在墓邊的樹上。他的隨從一看，就對他說：「主人，您這樣做太過了，因為您並沒有答應要把劍送給他；而且縱使你已經答應給他了，他也已經死了，所以根本沒有必要再把劍掛在那裡。」季札接著說：「始吾已心許之，豈以死背吾心哉。」我的心已經起了此念要送給他，如何可以因國君之死，而違背了我心裡的承諾！</w:t>
      </w:r>
      <w:r>
        <w:t xml:space="preserve"> </w:t>
      </w:r>
    </w:p>
    <w:p w14:paraId="19530F1F" w14:textId="77777777" w:rsidR="00C367AF" w:rsidRDefault="00C367AF">
      <w:pPr>
        <w:pStyle w:val="a3"/>
      </w:pPr>
      <w:r>
        <w:t xml:space="preserve">　　古人的信用是在起心動念上修，對於自己所起的一念都不願意違背。守信用一定要童叟無欺。言語也不能挑對象，只要言出都要必行，不然你就要先考慮清楚再答應。所謂「事非宜，勿輕諾；苟輕諾，進退錯」。　　</w:t>
      </w:r>
    </w:p>
    <w:sectPr w:rsidR="00C367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9409D" w14:textId="77777777" w:rsidR="00C367AF" w:rsidRDefault="00C367AF" w:rsidP="00A63F1B">
      <w:r>
        <w:separator/>
      </w:r>
    </w:p>
  </w:endnote>
  <w:endnote w:type="continuationSeparator" w:id="0">
    <w:p w14:paraId="74260AC0" w14:textId="77777777" w:rsidR="00C367AF" w:rsidRDefault="00C367AF" w:rsidP="00A63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39C81" w14:textId="77777777" w:rsidR="00C367AF" w:rsidRDefault="00C367AF" w:rsidP="00A63F1B">
      <w:r>
        <w:separator/>
      </w:r>
    </w:p>
  </w:footnote>
  <w:footnote w:type="continuationSeparator" w:id="0">
    <w:p w14:paraId="5D213220" w14:textId="77777777" w:rsidR="00C367AF" w:rsidRDefault="00C367AF" w:rsidP="00A63F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1B"/>
    <w:rsid w:val="007931EE"/>
    <w:rsid w:val="00A63F1B"/>
    <w:rsid w:val="00C3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029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3F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3F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3F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3F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