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BED9" w14:textId="77777777" w:rsidR="00A97E2D" w:rsidRDefault="00A97E2D">
      <w:r>
        <w:t>念佛十種心</w:t>
      </w:r>
      <w:r>
        <w:t>-</w:t>
      </w:r>
      <w:r>
        <w:t xml:space="preserve">系列短片　　（第十集）　　</w:t>
      </w:r>
      <w:r>
        <w:t>2014/7/2</w:t>
      </w:r>
      <w:r>
        <w:t xml:space="preserve">　　華藏淨宗弘化網　　檔名：</w:t>
      </w:r>
      <w:r>
        <w:t xml:space="preserve">67-003-0010 </w:t>
      </w:r>
    </w:p>
    <w:p w14:paraId="6EF1550C" w14:textId="77777777" w:rsidR="00A97E2D" w:rsidRDefault="00A97E2D">
      <w:pPr>
        <w:pStyle w:val="a3"/>
      </w:pPr>
      <w:r>
        <w:t xml:space="preserve">　　十、起隨念心</w:t>
      </w:r>
      <w:r>
        <w:t xml:space="preserve"> </w:t>
      </w:r>
    </w:p>
    <w:p w14:paraId="3B58971F" w14:textId="77777777" w:rsidR="00A97E2D" w:rsidRDefault="00A97E2D">
      <w:pPr>
        <w:pStyle w:val="a3"/>
      </w:pPr>
      <w:r>
        <w:t xml:space="preserve">　　【二零一二淨土大經科註（第六十五集）</w:t>
      </w:r>
      <w:r>
        <w:t>2012/12/11</w:t>
      </w:r>
      <w:r>
        <w:t>檔名：</w:t>
      </w:r>
      <w:r>
        <w:t>02-040-0065</w:t>
      </w:r>
      <w:r>
        <w:t>】</w:t>
      </w:r>
      <w:r>
        <w:t xml:space="preserve"> </w:t>
      </w:r>
    </w:p>
    <w:p w14:paraId="50AA55C1" w14:textId="77777777" w:rsidR="00A97E2D" w:rsidRDefault="00A97E2D">
      <w:pPr>
        <w:pStyle w:val="a3"/>
      </w:pPr>
      <w:r>
        <w:t xml:space="preserve">　　這個隨念心是觀想，常常想佛像。佛像，我們是凡夫，也要選一尊佛像，你常常想這一尊，不雜，我們的心容易專一。說我有很多，又喜歡這個、又喜歡那個，將來往生的時候，哪一個像是阿彌陀佛？你就會搞亂了！如果只想一尊像，將來來接引的佛就跟那個像是一模一樣，我們想多年了，總算今天想到了，佛來了。佛決定不會現別的相，現別的相讓你懷疑，叫本尊。念念只想本尊，千萬不要搞得太多。</w:t>
      </w:r>
      <w:r>
        <w:t xml:space="preserve"> </w:t>
      </w:r>
    </w:p>
    <w:p w14:paraId="31A8B09F" w14:textId="77777777" w:rsidR="00A97E2D" w:rsidRDefault="00A97E2D">
      <w:pPr>
        <w:pStyle w:val="a3"/>
      </w:pPr>
      <w:r>
        <w:t xml:space="preserve">　　【淨土大經科註（第六十一集）</w:t>
      </w:r>
      <w:r>
        <w:t>2011/11/25</w:t>
      </w:r>
      <w:r>
        <w:t>檔名：</w:t>
      </w:r>
      <w:r>
        <w:t>02-037-0061</w:t>
      </w:r>
      <w:r>
        <w:t>】</w:t>
      </w:r>
      <w:r>
        <w:t xml:space="preserve"> </w:t>
      </w:r>
    </w:p>
    <w:p w14:paraId="2F8C7FA1" w14:textId="77777777" w:rsidR="00A97E2D" w:rsidRDefault="00A97E2D">
      <w:pPr>
        <w:pStyle w:val="a3"/>
      </w:pPr>
      <w:r>
        <w:t xml:space="preserve">　　這裡頭有句話說得很好，「雖觀如來相好，不生愛著之心」。如來，我們塑造的佛像，依照《造像量度經》的標準，把三十二相八十種隨形好造出來，世間人所稱為這是貴相、福相，沒有留戀，沒有染著的心。對於佛尚且如此，世出世間一切法你當然不生愛著之心。「於無念中，常念彼佛」，無念是失念的時候，心裡頭沒有其他的念頭，這個時候要生起念佛的心，常常想到佛，常常不離開佛。所以念佛人手上拿一串念珠，掛一串念珠，這念珠的作用在哪裡？提醒自己念佛，是這個意思。印光大師告訴我們，念佛不必計數，計數怎麼？分心，心不清淨。他自己念佛為什麼要計這個十聲數？十聲數這不是計數，這是一種對治的方法，讓雜念不能進來。就是用什麼方法能達到不夾雜，這個方法可以達到不夾雜，真正到不夾雜的時候就不需要了。</w:t>
      </w:r>
      <w:r>
        <w:t xml:space="preserve"> </w:t>
      </w:r>
    </w:p>
    <w:p w14:paraId="3C092259" w14:textId="77777777" w:rsidR="00A97E2D" w:rsidRDefault="00A97E2D">
      <w:pPr>
        <w:pStyle w:val="a3"/>
      </w:pPr>
      <w:r>
        <w:t xml:space="preserve">　　【淨土大經解演義（第九十四集）</w:t>
      </w:r>
      <w:r>
        <w:t>2010/8/4</w:t>
      </w:r>
      <w:r>
        <w:t>檔名：</w:t>
      </w:r>
      <w:r>
        <w:t>02-039-0094</w:t>
      </w:r>
      <w:r>
        <w:t>】</w:t>
      </w:r>
      <w:r>
        <w:t xml:space="preserve"> </w:t>
      </w:r>
    </w:p>
    <w:p w14:paraId="45778886" w14:textId="77777777" w:rsidR="00A97E2D" w:rsidRDefault="00A97E2D">
      <w:pPr>
        <w:pStyle w:val="a3"/>
      </w:pPr>
      <w:r>
        <w:t xml:space="preserve">　　佛在世間是用相好來接引眾生，眾生喜歡相好，佛的相好第一，看到佛的相好就跟佛去了，就跟他學了，他的目的在此地。報身如來是平等的，如果我們明心見性，生到佛的實報莊嚴土，我們的身跟佛的身沒有兩樣，為什麼？從自性裡面顯示出來的，那確實是無上的福慧莊嚴。可是不會生愛著之心，愛、著是煩惱，愛是分別，著是執著，哪有生愛著之道理？不可能。我們現前於無念之中要常念阿彌陀佛，彼佛就是阿彌陀佛，念佛，心就是佛心，就是經上所講的念佛作佛。本來是佛，現在又作佛，哪有不成佛的道理！</w:t>
      </w:r>
    </w:p>
    <w:sectPr w:rsidR="00A97E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A32B" w14:textId="77777777" w:rsidR="00A97E2D" w:rsidRDefault="00A97E2D" w:rsidP="00E37E12">
      <w:r>
        <w:separator/>
      </w:r>
    </w:p>
  </w:endnote>
  <w:endnote w:type="continuationSeparator" w:id="0">
    <w:p w14:paraId="709D0F7D" w14:textId="77777777" w:rsidR="00A97E2D" w:rsidRDefault="00A97E2D" w:rsidP="00E37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6C91D" w14:textId="77777777" w:rsidR="00A97E2D" w:rsidRDefault="00A97E2D" w:rsidP="00E37E12">
      <w:r>
        <w:separator/>
      </w:r>
    </w:p>
  </w:footnote>
  <w:footnote w:type="continuationSeparator" w:id="0">
    <w:p w14:paraId="1C8DCF38" w14:textId="77777777" w:rsidR="00A97E2D" w:rsidRDefault="00A97E2D" w:rsidP="00E37E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12"/>
    <w:rsid w:val="007931EE"/>
    <w:rsid w:val="00A97E2D"/>
    <w:rsid w:val="00E3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A26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E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E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E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E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