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6911C" w14:textId="77777777" w:rsidR="00034ECB" w:rsidRDefault="00034ECB">
      <w:r>
        <w:t xml:space="preserve">竹窗隨筆系列短片　　（第二集）　　</w:t>
      </w:r>
      <w:r>
        <w:t>2014/12/12</w:t>
      </w:r>
      <w:r>
        <w:t xml:space="preserve">　華藏淨宗弘化網　　檔名：</w:t>
      </w:r>
      <w:r>
        <w:t xml:space="preserve">67-005-0002 </w:t>
      </w:r>
    </w:p>
    <w:p w14:paraId="4029BEDB" w14:textId="77777777" w:rsidR="00034ECB" w:rsidRDefault="00034ECB">
      <w:pPr>
        <w:pStyle w:val="a3"/>
      </w:pPr>
      <w:r>
        <w:t xml:space="preserve">　　錢塘有位金姓人士，非常虔誠的持齋守戒。後來因病去世，他的亡靈附在一位孩童身上說：「我在世時修善事的時間不長，所以沒能往生淨土；今雖在陰界，卻也很快樂，可以來去自由。」有一天，他又附身，責罵他的妻子說：「為什麼要為我的後事，殺生款待賓客？現在有一位陰差跟著我，使我的行動不像以前自由了！」由於他的兒媳有孕在身，於是請問他吉凶禍福。他說：「這胎當生男，母子平安無事。下一胎還是生男，但是母子性命不保。」我將他說的話牢記起來，察看之後是否應驗。不久，他的兒媳生男。後又懷孕，還是生男，但是男嬰出生沒多久就死亡，男嬰的母親也跟著死亡。可見之前所說的都應驗了。所以若為父母而殺生，等於替父母增加罪業，豈是孝子能做的事！</w:t>
      </w:r>
      <w:r>
        <w:t xml:space="preserve"> </w:t>
      </w:r>
    </w:p>
    <w:p w14:paraId="1C8BAFAD" w14:textId="77777777" w:rsidR="00034ECB" w:rsidRDefault="00034ECB">
      <w:pPr>
        <w:pStyle w:val="a3"/>
      </w:pPr>
      <w:r>
        <w:t xml:space="preserve">　　蓮池大師法語：</w:t>
      </w:r>
      <w:r>
        <w:t xml:space="preserve"> </w:t>
      </w:r>
    </w:p>
    <w:p w14:paraId="35DF4AB4" w14:textId="77777777" w:rsidR="00034ECB" w:rsidRDefault="00034ECB">
      <w:pPr>
        <w:pStyle w:val="a3"/>
      </w:pPr>
      <w:r>
        <w:t xml:space="preserve">　　錢塘金某者，齋戒虔篤。以疾卒，附一童子云：「善業日淺，未得往生淨土，今在陰界，然亦甚樂，去住自由。」一日呵其妻子云：「何故為吾墳墓事，殺雞為黍？今有吏隨我，稍不似前之自由矣！」子婦懷妊，因問之。則曰：「當生男無恙。過此復當生男，則母子雙逝。」予謹記之，以候應否。俄而生男。復妊，復生男，男隨斃，母亦隨斃。乃知一一語皆不謬。然則為父母殺生，孝子豈為之乎！</w:t>
      </w:r>
    </w:p>
    <w:sectPr w:rsidR="00034E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25F6A" w14:textId="77777777" w:rsidR="00034ECB" w:rsidRDefault="00034ECB" w:rsidP="00AE2586">
      <w:r>
        <w:separator/>
      </w:r>
    </w:p>
  </w:endnote>
  <w:endnote w:type="continuationSeparator" w:id="0">
    <w:p w14:paraId="2138F36B" w14:textId="77777777" w:rsidR="00034ECB" w:rsidRDefault="00034ECB" w:rsidP="00AE2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817B7" w14:textId="77777777" w:rsidR="00034ECB" w:rsidRDefault="00034ECB" w:rsidP="00AE2586">
      <w:r>
        <w:separator/>
      </w:r>
    </w:p>
  </w:footnote>
  <w:footnote w:type="continuationSeparator" w:id="0">
    <w:p w14:paraId="07958BE1" w14:textId="77777777" w:rsidR="00034ECB" w:rsidRDefault="00034ECB" w:rsidP="00AE25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86"/>
    <w:rsid w:val="00034ECB"/>
    <w:rsid w:val="007931EE"/>
    <w:rsid w:val="00AE2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76E5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25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25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25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25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