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C12B" w14:textId="77777777" w:rsidR="00FB159C" w:rsidRDefault="00FB159C">
      <w:r>
        <w:t>兩分鐘開示</w:t>
      </w:r>
      <w:r>
        <w:t>—</w:t>
      </w:r>
      <w:r>
        <w:t>人心一動，鬼神就知道了。　　悟道法師主講　　（第五十三集）　　檔名：</w:t>
      </w:r>
      <w:r>
        <w:t xml:space="preserve">WD29-003-0053 </w:t>
      </w:r>
    </w:p>
    <w:p w14:paraId="140C7C78" w14:textId="77777777" w:rsidR="00FB159C" w:rsidRDefault="00FB159C">
      <w:pPr>
        <w:pStyle w:val="a3"/>
      </w:pPr>
      <w:r>
        <w:t xml:space="preserve">　　《太上感應篇》後面講，「夫心起於善，善雖未為，而吉神已隨之；或心起於惡，惡雖未為，而凶神已隨之。」我們起心動念，起一個善念，感應吉神；起一個惡念，馬上感應凶神。善惡的事情還沒有做，這個心一動，鬼神就知道了。邪神，現在很多邪神、附體，那都是自己的邪念去感應來的。所以，《太上感應篇》頭一句也講，「禍福無門，惟人自召；善惡之報，如影隨形。」禍福沒有門路，都是自己召來的，怎麼召的？起心動念召來的。《閱微草堂筆記》這個公案，就是有人去問鬼神，問護法善神，像城隍，這些都是護法善神。像城隍老爺、東嶽大帝，這是大鬼王，在經典上講大鬼王，維持陰間這些秩序的鬼神。有人就問，說有些人遭到凶神、邪神去擾亂他們家裡，附在人的身體，這些正神怎麼不去阻止？就回答，那個人『以邪召邪』，他自己邪心邪念去招感來的，神也沒辦法。如果他沒有邪念，這些邪神、惡神要去傷害善人，正神就會去阻止，護法神就會去阻止。所以，自己去找的，他說他也沒辦法。所以，人心一動，鬼神就知道了，你起什麼樣的心，這些都要對自己負責。　　節錄自：</w:t>
      </w:r>
      <w:r>
        <w:t>WD20-027-0001</w:t>
      </w:r>
      <w:r>
        <w:t xml:space="preserve">淨土集選講（第一集）　　</w:t>
      </w:r>
    </w:p>
    <w:sectPr w:rsidR="00FB15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FF2A" w14:textId="77777777" w:rsidR="00FB159C" w:rsidRDefault="00FB159C" w:rsidP="0047666C">
      <w:r>
        <w:separator/>
      </w:r>
    </w:p>
  </w:endnote>
  <w:endnote w:type="continuationSeparator" w:id="0">
    <w:p w14:paraId="11F835D7" w14:textId="77777777" w:rsidR="00FB159C" w:rsidRDefault="00FB159C" w:rsidP="00476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9EE4C" w14:textId="77777777" w:rsidR="00FB159C" w:rsidRDefault="00FB159C" w:rsidP="0047666C">
      <w:r>
        <w:separator/>
      </w:r>
    </w:p>
  </w:footnote>
  <w:footnote w:type="continuationSeparator" w:id="0">
    <w:p w14:paraId="62E220CE" w14:textId="77777777" w:rsidR="00FB159C" w:rsidRDefault="00FB159C" w:rsidP="004766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6C"/>
    <w:rsid w:val="0047666C"/>
    <w:rsid w:val="007931EE"/>
    <w:rsid w:val="00FB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1CC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6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6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6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6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