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CC4F" w14:textId="77777777" w:rsidR="00861BF2" w:rsidRDefault="00861BF2">
      <w:r>
        <w:t>兩分鐘開示</w:t>
      </w:r>
      <w:r>
        <w:t>—</w:t>
      </w:r>
      <w:r>
        <w:t>算命真能算得準嗎？　　悟道法師主講　　（第一三五集）　　檔名：</w:t>
      </w:r>
      <w:r>
        <w:t xml:space="preserve">WD29-003-0135 </w:t>
      </w:r>
    </w:p>
    <w:p w14:paraId="780EB6BB" w14:textId="77777777" w:rsidR="00861BF2" w:rsidRDefault="00861BF2">
      <w:pPr>
        <w:pStyle w:val="a3"/>
      </w:pPr>
      <w:r>
        <w:t xml:space="preserve">　　一個人如果沒有改造命運，就是根據過去生造的業，這一生就是這麼走；如果你懂得《了凡四訓》的道理，改造命運，數就變了。特別我們學佛了，你有修行，命運就一百八十度的大轉變。如果沒有大善大惡，不是大修行人，一般都是根據過去生造的業，這一生受的命運沒有什麼變化，高明的算命先生的確可以算得很準確。　　節錄自：護國息災法語（第三集）</w:t>
      </w:r>
      <w:r>
        <w:t>WD20-019-0003</w:t>
      </w:r>
      <w:r>
        <w:t xml:space="preserve">　　</w:t>
      </w:r>
    </w:p>
    <w:sectPr w:rsidR="00861B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F622E" w14:textId="77777777" w:rsidR="00861BF2" w:rsidRDefault="00861BF2" w:rsidP="00795893">
      <w:r>
        <w:separator/>
      </w:r>
    </w:p>
  </w:endnote>
  <w:endnote w:type="continuationSeparator" w:id="0">
    <w:p w14:paraId="7CE06745" w14:textId="77777777" w:rsidR="00861BF2" w:rsidRDefault="00861BF2" w:rsidP="0079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86D2" w14:textId="77777777" w:rsidR="00861BF2" w:rsidRDefault="00861BF2" w:rsidP="00795893">
      <w:r>
        <w:separator/>
      </w:r>
    </w:p>
  </w:footnote>
  <w:footnote w:type="continuationSeparator" w:id="0">
    <w:p w14:paraId="1328D964" w14:textId="77777777" w:rsidR="00861BF2" w:rsidRDefault="00861BF2" w:rsidP="00795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93"/>
    <w:rsid w:val="007931EE"/>
    <w:rsid w:val="00795893"/>
    <w:rsid w:val="0086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02A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8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8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