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3422" w14:textId="77777777" w:rsidR="00686A62" w:rsidRDefault="00686A62">
      <w:r>
        <w:t>兩分鐘開示</w:t>
      </w:r>
      <w:r>
        <w:t>—</w:t>
      </w:r>
      <w:r>
        <w:t>因果是很公平的　　悟道法師主講　　（第一九一集）　　檔名：</w:t>
      </w:r>
      <w:r>
        <w:t xml:space="preserve">WD29-003-0191 </w:t>
      </w:r>
    </w:p>
    <w:p w14:paraId="0806B06E" w14:textId="77777777" w:rsidR="00686A62" w:rsidRDefault="00686A62">
      <w:pPr>
        <w:pStyle w:val="a3"/>
      </w:pPr>
      <w:r>
        <w:t xml:space="preserve">　　過去也有人提出一個疑問，像在《太上感應篇》也有講這個「殃及子孫」，有人提一個疑問，說這個造惡業是當事人，也不是他的子孫造這個惡業，那他的子孫為什麼要去承受這個災殃？這個道理在《安士全書》也有解釋，就是造惡業的人家，投胎到造惡業的人家，這個子孫他自己本身前世也是造惡業，那惡跟惡相應，就到他家去投胎，去受這個報，總是自作自受，這個因果是很公平的。這是我們看到造惡業的人，他的子孫後代都不好。當時在做官不知道修福，作威作福，福報享盡，惡業現前了。看他的後代也就知道，這個上一輩的沒有修福積善，下一代子孫都不好。　　節錄自：西方確指（第二十三集）</w:t>
      </w:r>
      <w:r>
        <w:t>WD20-016-0023</w:t>
      </w:r>
      <w:r>
        <w:t xml:space="preserve">　　</w:t>
      </w:r>
    </w:p>
    <w:sectPr w:rsidR="00686A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915E5" w14:textId="77777777" w:rsidR="00686A62" w:rsidRDefault="00686A62" w:rsidP="007D5FDB">
      <w:r>
        <w:separator/>
      </w:r>
    </w:p>
  </w:endnote>
  <w:endnote w:type="continuationSeparator" w:id="0">
    <w:p w14:paraId="60420ACB" w14:textId="77777777" w:rsidR="00686A62" w:rsidRDefault="00686A62" w:rsidP="007D5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CA262" w14:textId="77777777" w:rsidR="00686A62" w:rsidRDefault="00686A62" w:rsidP="007D5FDB">
      <w:r>
        <w:separator/>
      </w:r>
    </w:p>
  </w:footnote>
  <w:footnote w:type="continuationSeparator" w:id="0">
    <w:p w14:paraId="28255E77" w14:textId="77777777" w:rsidR="00686A62" w:rsidRDefault="00686A62" w:rsidP="007D5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DB"/>
    <w:rsid w:val="00686A62"/>
    <w:rsid w:val="007931EE"/>
    <w:rsid w:val="007D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980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F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F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F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F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