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E92A" w14:textId="77777777" w:rsidR="005964A1" w:rsidRDefault="005964A1">
      <w:r>
        <w:t>兩分鐘開示</w:t>
      </w:r>
      <w:r>
        <w:t>—</w:t>
      </w:r>
      <w:r>
        <w:t>我們的三種業報　　悟道法師主講　　（第二Ｏ九集）　　檔名：</w:t>
      </w:r>
      <w:r>
        <w:t xml:space="preserve">WD29-003-0209 </w:t>
      </w:r>
    </w:p>
    <w:p w14:paraId="618BBC75" w14:textId="77777777" w:rsidR="005964A1" w:rsidRDefault="005964A1">
      <w:pPr>
        <w:pStyle w:val="a3"/>
      </w:pPr>
      <w:r>
        <w:t xml:space="preserve">　　輪迴苦，佛說得一點都沒有錯，我們這個地方不值得留戀。這些金銀財寶假的，給你看一看，一樣都得不到，包括這個身體都得不到，何況身外之物！能帶得走的就是這一生造的善惡業。三種業報：一、「現報」，現世所做的善惡業，現在受到的善惡報，今天造，明天或者這一生受的報都叫現世報；第二「生報」，這一生所做的善惡業，來生才受善惡報；第三「後報」，第三世之後，不一定哪一生，因緣際會的時候果報就現前。所以人決定不作惡，道理在此地。所有一切惡果自己要承受，不要怪別人，把這個業緣化解了。佛教我們冤家宜解不宜結，要懂得怎樣化解。沒有貪瞋痴，化解很容易，我能吃虧、我肯上當，吃虧上當是化解怨結，重罪輕報。　　節錄自：無量壽經選講（三十三品至三十七品）（第十九集）</w:t>
      </w:r>
      <w:r>
        <w:t>WD02-013-0019</w:t>
      </w:r>
      <w:r>
        <w:t xml:space="preserve">　　</w:t>
      </w:r>
    </w:p>
    <w:sectPr w:rsidR="005964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5CE2B" w14:textId="77777777" w:rsidR="005964A1" w:rsidRDefault="005964A1" w:rsidP="008C2A05">
      <w:r>
        <w:separator/>
      </w:r>
    </w:p>
  </w:endnote>
  <w:endnote w:type="continuationSeparator" w:id="0">
    <w:p w14:paraId="5BF73712" w14:textId="77777777" w:rsidR="005964A1" w:rsidRDefault="005964A1" w:rsidP="008C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63BC" w14:textId="77777777" w:rsidR="005964A1" w:rsidRDefault="005964A1" w:rsidP="008C2A05">
      <w:r>
        <w:separator/>
      </w:r>
    </w:p>
  </w:footnote>
  <w:footnote w:type="continuationSeparator" w:id="0">
    <w:p w14:paraId="654F4821" w14:textId="77777777" w:rsidR="005964A1" w:rsidRDefault="005964A1" w:rsidP="008C2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05"/>
    <w:rsid w:val="005964A1"/>
    <w:rsid w:val="007931EE"/>
    <w:rsid w:val="008C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27A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A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A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A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A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