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1F14" w14:textId="77777777" w:rsidR="00AA317C" w:rsidRDefault="00AA317C">
      <w:r>
        <w:t>兩分鐘開示</w:t>
      </w:r>
      <w:r>
        <w:t>—</w:t>
      </w:r>
      <w:r>
        <w:t>決定我們下輩子投生到哪一道的關鍵是什麼　　悟道法師主講　　（第二三一集）　　檔名：</w:t>
      </w:r>
      <w:r>
        <w:t xml:space="preserve">WD29-003-0231 </w:t>
      </w:r>
    </w:p>
    <w:p w14:paraId="7328E16F" w14:textId="77777777" w:rsidR="00AA317C" w:rsidRDefault="00AA317C">
      <w:pPr>
        <w:pStyle w:val="a3"/>
      </w:pPr>
      <w:r>
        <w:t xml:space="preserve">　　我們來生下一次我們要到哪一道去，要到哪個地方去往生，關鍵在臨終最後那一念，那個念頭是哪一念比較強。古大德給我們講「強者先牽」，強的它先拉走。就好像欠債一樣，欠最多的先要，少一點的排在第二個，再少的，再排在第三、第四。所以最後臨終那一念非常關鍵。因此我們淨宗古來祖師大德提倡助念，這也是根據經典，助念就特別重要。助念是什麼？提醒，提醒臨終的人放下萬緣，提起一句阿彌陀佛，其他統統放下，其他的念頭統統放下。這個世間的事情，貪瞋痴，都要放下這些煩惱。貪心的核心，我們淨老和尚講是情執、貪愛，親情放不下，放不下就起貪愛心，貪愛臨終這一念比較強，捨不得、放不下這些情執，這貪心，到哪裡去？到鬼道去了。所以我們一般人常講人死做鬼。在六道裡面不一定是去鬼道，但是這句話也不無道理，是說多數人死了都到鬼道去比較多。</w:t>
      </w:r>
      <w:r>
        <w:t xml:space="preserve"> </w:t>
      </w:r>
    </w:p>
    <w:p w14:paraId="025D4EC0" w14:textId="77777777" w:rsidR="00AA317C" w:rsidRDefault="00AA317C">
      <w:pPr>
        <w:pStyle w:val="a3"/>
      </w:pPr>
      <w:r>
        <w:t xml:space="preserve">　　為什麼？你說這世間人哪一個人他沒貪心？貪多貪少，或者貪的對象不一樣，財色名利，各人貪的對象偏重不一樣。有的人喜歡古董，他貪古董；有的人貪舍宅，房屋、動產，貪那個。甚至，我們淨老和尚講經常講，我們學佛的人世間這些不貪，他貪經書。貪經書也不行，本身那個煩惱性質沒改變，只是換了一個貪的對象，還是要墮到鬼道。不過貪佛法墮鬼道會比較好，比其他的鬼要好，會做有財鬼，生活在鬼道過的日子會比較好過，如果貪其他的那就不好。貪心的核心最嚴重的就是情執，如果情執能放得下，其他的也就比較容易。所以佛勸我們把最難斷的先把它放下。　　節錄自：</w:t>
      </w:r>
      <w:r>
        <w:t>WD15-005-0022</w:t>
      </w:r>
      <w:r>
        <w:t xml:space="preserve">千手千眼觀世音菩薩廣大圓滿無礙大悲心陀羅尼經（第二次宣講）（第二十二集）　　</w:t>
      </w:r>
    </w:p>
    <w:sectPr w:rsidR="00AA31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FF8D" w14:textId="77777777" w:rsidR="00AA317C" w:rsidRDefault="00AA317C" w:rsidP="00E42D68">
      <w:r>
        <w:separator/>
      </w:r>
    </w:p>
  </w:endnote>
  <w:endnote w:type="continuationSeparator" w:id="0">
    <w:p w14:paraId="5BCA7E55" w14:textId="77777777" w:rsidR="00AA317C" w:rsidRDefault="00AA317C" w:rsidP="00E42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E149" w14:textId="77777777" w:rsidR="00AA317C" w:rsidRDefault="00AA317C" w:rsidP="00E42D68">
      <w:r>
        <w:separator/>
      </w:r>
    </w:p>
  </w:footnote>
  <w:footnote w:type="continuationSeparator" w:id="0">
    <w:p w14:paraId="36BBFB0C" w14:textId="77777777" w:rsidR="00AA317C" w:rsidRDefault="00AA317C" w:rsidP="00E42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68"/>
    <w:rsid w:val="007931EE"/>
    <w:rsid w:val="00AA317C"/>
    <w:rsid w:val="00E4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13F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