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19A8" w14:textId="77777777" w:rsidR="00A91F5C" w:rsidRDefault="00A91F5C">
      <w:r>
        <w:t>兩分鐘開示</w:t>
      </w:r>
      <w:r>
        <w:t>—</w:t>
      </w:r>
      <w:r>
        <w:t>記恨念頭放不下，會障礙往生西方（閩南語）　　悟道法師主講　　（第二五二集）　　檔名：</w:t>
      </w:r>
      <w:r>
        <w:t xml:space="preserve">WD29-003-0252 </w:t>
      </w:r>
    </w:p>
    <w:p w14:paraId="3CC3278F" w14:textId="77777777" w:rsidR="00A91F5C" w:rsidRDefault="00A91F5C">
      <w:pPr>
        <w:pStyle w:val="a3"/>
      </w:pPr>
      <w:r>
        <w:t xml:space="preserve">　　疏【欲迴此雜毒之行。求生彼佛淨土者。此心不可也。】</w:t>
      </w:r>
      <w:r>
        <w:t xml:space="preserve"> </w:t>
      </w:r>
    </w:p>
    <w:p w14:paraId="25D17783" w14:textId="77777777" w:rsidR="00A91F5C" w:rsidRDefault="00A91F5C">
      <w:pPr>
        <w:pStyle w:val="a3"/>
      </w:pPr>
      <w:r>
        <w:t xml:space="preserve">　　這段非常非常重要。我們這一生如果不想往生西方那就不必說，如果這一生想決定要往生到西方淨土，這段話我們要好好記住。『欲』就是說你發這個心，『迴』就是迴向，你要以雜毒之行，這樣迴向求生阿彌陀佛西方淨土，善導大師告訴我們，用這個心不可也，不可以，那不可能，不能往生。所以我們求往生的人一定要曉得心要清淨，無論別人怎麼樣毀謗我們、侮辱我們、陷害我們，決定不起心動念。為什麼？我們在這個世界再住幾天就要走了，何必跟他計較？這就決定得生。小小的侮辱就記恨在心，記恨記得牢，念念不忘，記恨這個念頭如果放不下，到後來一定造成我們這一生往生西方的障礙，這是我們一定要記住的。</w:t>
      </w:r>
      <w:r>
        <w:t xml:space="preserve"> </w:t>
      </w:r>
    </w:p>
    <w:p w14:paraId="6FE298E8" w14:textId="77777777" w:rsidR="00A91F5C" w:rsidRDefault="00A91F5C">
      <w:pPr>
        <w:pStyle w:val="a3"/>
      </w:pPr>
      <w:r>
        <w:t xml:space="preserve">　　六祖大師說得好，「若真修道人，不見世間過」，他為什麼不見世間過？說老實話，對世間不關心，關心自己。自己好好守護自己的清淨心，念念真誠，以真誠待人待事、對事對物。決定要在這一生當中見阿彌陀佛，往生極樂世界，在這個世界決定隨緣而不攀緣，隨緣隨順。外緣有善緣、有惡緣，有順境、有逆境，統統用一個真誠清淨心來隨順，決定不作計較，我們這個心才真正能清淨，才能夠如法。雜毒善行不能往生，縱然是一天念十萬聲佛號，磕十萬個頭，頭磕破了也是枉然。古人所講的「喊破喉嚨也枉然」，念佛大聲喊，但是心不相應，這個心態不對。　　節錄自：</w:t>
      </w:r>
      <w:r>
        <w:t>WD03-003-0041</w:t>
      </w:r>
      <w:r>
        <w:t xml:space="preserve">佛說觀無量壽佛經四帖疏（第四十一集）　　</w:t>
      </w:r>
    </w:p>
    <w:sectPr w:rsidR="00A91F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CE10" w14:textId="77777777" w:rsidR="00A91F5C" w:rsidRDefault="00A91F5C" w:rsidP="0031564B">
      <w:r>
        <w:separator/>
      </w:r>
    </w:p>
  </w:endnote>
  <w:endnote w:type="continuationSeparator" w:id="0">
    <w:p w14:paraId="2FEC5B65" w14:textId="77777777" w:rsidR="00A91F5C" w:rsidRDefault="00A91F5C" w:rsidP="00315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21B18" w14:textId="77777777" w:rsidR="00A91F5C" w:rsidRDefault="00A91F5C" w:rsidP="0031564B">
      <w:r>
        <w:separator/>
      </w:r>
    </w:p>
  </w:footnote>
  <w:footnote w:type="continuationSeparator" w:id="0">
    <w:p w14:paraId="0D196683" w14:textId="77777777" w:rsidR="00A91F5C" w:rsidRDefault="00A91F5C" w:rsidP="00315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4B"/>
    <w:rsid w:val="0031564B"/>
    <w:rsid w:val="007931EE"/>
    <w:rsid w:val="00A9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D8A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