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BAEB" w14:textId="77777777" w:rsidR="002C367C" w:rsidRDefault="002C367C">
      <w:r>
        <w:t>兩分鐘開示</w:t>
      </w:r>
      <w:r>
        <w:t>—</w:t>
      </w:r>
      <w:r>
        <w:t>想彌補墮胎罪，寫一個牌位夠嗎</w:t>
      </w:r>
      <w:r>
        <w:t>(</w:t>
      </w:r>
      <w:r>
        <w:t>閩南語）　　悟道法師主講　　（第二九五集）　　檔名：</w:t>
      </w:r>
      <w:r>
        <w:t xml:space="preserve">WD29-003-0295 </w:t>
      </w:r>
    </w:p>
    <w:p w14:paraId="6252AEBF" w14:textId="77777777" w:rsidR="002C367C" w:rsidRDefault="002C367C">
      <w:pPr>
        <w:pStyle w:val="a3"/>
      </w:pPr>
      <w:r>
        <w:t xml:space="preserve">　　有一些無知的婦女墮胎，現在也很多墮胎的，墮胎要怎麼彌補？寫一個牌位。寫一個牌位就解決了嗎？這樣問題就不是很嚴重；實際上不是寫牌位那麼簡單。不要說你殺死一個人，我現在打你一巴掌，我給你寫一個牌位，看你會不會很高興？這樣去體會就好了。你這樣去想，有那麼簡單嗎？沒那麼簡單。打一巴掌，我們都很難化解，你把他殺死，哪有說你給他寫個牌位這樣就解決了？這沒有那麼簡單。要怎麼樣才能夠排解？你從現在開始要永離殺生。永離殺生，不只是我現在開始吃素，這是永離殺生的初步，你要連殺心都沒有，以後你如果遇到冤親債主，你以前把他殺害，他現在把你殺死，你也要像釋迦牟尼佛那樣如如不動，這樣眾怨就自解了。你要歡喜給人殺，你在殺人的時候很歡喜，但是你現在被人家殺，你也要歡歡喜喜，這樣怨結就化解了。如果你想要再報復，那冤冤相報沒完沒了，永遠不能解決。所以要永離殺生，連殺心都沒有，這樣才能「滅除怨結，眾怨自解」，不是寫一個牌位就能解決，你要永離殺生。　　節錄自：</w:t>
      </w:r>
      <w:r>
        <w:t xml:space="preserve">WD19-009-0004 </w:t>
      </w:r>
      <w:r>
        <w:t xml:space="preserve">十善業道經（第四集）　　</w:t>
      </w:r>
    </w:p>
    <w:sectPr w:rsidR="002C3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EA030" w14:textId="77777777" w:rsidR="002C367C" w:rsidRDefault="002C367C" w:rsidP="00595045">
      <w:r>
        <w:separator/>
      </w:r>
    </w:p>
  </w:endnote>
  <w:endnote w:type="continuationSeparator" w:id="0">
    <w:p w14:paraId="39522C51" w14:textId="77777777" w:rsidR="002C367C" w:rsidRDefault="002C367C" w:rsidP="00595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3109" w14:textId="77777777" w:rsidR="002C367C" w:rsidRDefault="002C367C" w:rsidP="00595045">
      <w:r>
        <w:separator/>
      </w:r>
    </w:p>
  </w:footnote>
  <w:footnote w:type="continuationSeparator" w:id="0">
    <w:p w14:paraId="7CFD668F" w14:textId="77777777" w:rsidR="002C367C" w:rsidRDefault="002C367C" w:rsidP="00595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45"/>
    <w:rsid w:val="002C367C"/>
    <w:rsid w:val="0059504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1A5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0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0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0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0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