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8E4F" w14:textId="77777777" w:rsidR="00151A60" w:rsidRDefault="00151A60">
      <w:r>
        <w:t>兩分鐘開示</w:t>
      </w:r>
      <w:r>
        <w:t>—</w:t>
      </w:r>
      <w:r>
        <w:t>因果律前人人平等　　悟道法師主講　　（第三Ｏ一集）　　檔名：</w:t>
      </w:r>
      <w:r>
        <w:t xml:space="preserve">WD29-003-0301 </w:t>
      </w:r>
    </w:p>
    <w:p w14:paraId="39B55599" w14:textId="77777777" w:rsidR="00151A60" w:rsidRDefault="00151A60">
      <w:pPr>
        <w:pStyle w:val="a3"/>
      </w:pPr>
      <w:r>
        <w:t xml:space="preserve">　　這個因果律，它是在宇宙間自然的規律，不是誰定的，不是教條式宗教，誰規定這個，沒有規定這個就沒罪。有沒有定，你只要犯了那個，就有業報，這個叫因果律。以前有人講「法律之前人人平等」，實在講不見得平等，法律之前不見得人人都平等。但是在因果律之前是人人平等，那是真的，「因果報應，絲毫不爽」；「善有善報，惡有惡報，不是不報，時間未到。」時間一到你就報，誰都逃不了。所以《地藏菩薩本願經》講，無間地獄的罪報，無論你是天上的天王、人間的人，貧富貴賤，你是國王，還是乞丐，你造了那個業，業報都一樣，不分羌胡夷狄，不分中國人、外國人都一樣。像《太上感應篇》講，「凡人有過，大則奪紀，小則奪算」，那個凡是凡事那個凡。凡人它也是兩個解釋，就是凡夫，我們凡人，在六道裡面都叫凡人；另外一個意思就是凡是人，你只要是人都一樣，黑人、白人、黃種人什麼人都一樣。凡人，凡是人都一樣的，你造了這個業，造善業，你就有善報；造惡業，你就有惡報。不是專門是給中國人量身制定的，不是的，那是通一切眾生的，所以叫凡人。我們要知道這個道理。　　節錄自：</w:t>
      </w:r>
      <w:r>
        <w:t>WD32-041-0001</w:t>
      </w:r>
      <w:r>
        <w:t xml:space="preserve">對巴黎同修談話（共一集）　　</w:t>
      </w:r>
    </w:p>
    <w:sectPr w:rsidR="00151A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877DC" w14:textId="77777777" w:rsidR="00151A60" w:rsidRDefault="00151A60" w:rsidP="00777CF1">
      <w:r>
        <w:separator/>
      </w:r>
    </w:p>
  </w:endnote>
  <w:endnote w:type="continuationSeparator" w:id="0">
    <w:p w14:paraId="641711A2" w14:textId="77777777" w:rsidR="00151A60" w:rsidRDefault="00151A60" w:rsidP="00777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17B8" w14:textId="77777777" w:rsidR="00151A60" w:rsidRDefault="00151A60" w:rsidP="00777CF1">
      <w:r>
        <w:separator/>
      </w:r>
    </w:p>
  </w:footnote>
  <w:footnote w:type="continuationSeparator" w:id="0">
    <w:p w14:paraId="3394FF0F" w14:textId="77777777" w:rsidR="00151A60" w:rsidRDefault="00151A60" w:rsidP="00777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F1"/>
    <w:rsid w:val="00151A60"/>
    <w:rsid w:val="00777C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F50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C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C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C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C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