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1E2F" w14:textId="77777777" w:rsidR="00D363A7" w:rsidRDefault="00D363A7">
      <w:r>
        <w:t>兩分鐘開示</w:t>
      </w:r>
      <w:r>
        <w:t>—</w:t>
      </w:r>
      <w:r>
        <w:t>要以什麼心態面對愛發脾氣的人？（閩南語）　　悟道法師主講　　（第三七七集）　　檔名：</w:t>
      </w:r>
      <w:r>
        <w:t xml:space="preserve">WD29-003-0377 </w:t>
      </w:r>
    </w:p>
    <w:p w14:paraId="5F1AAFA3" w14:textId="77777777" w:rsidR="00D363A7" w:rsidRDefault="00D363A7">
      <w:pPr>
        <w:pStyle w:val="a3"/>
      </w:pPr>
      <w:r>
        <w:t xml:space="preserve">　　我們以前如果很喜歡發怒，很愛發脾氣，我們要怎麼想？要想人非聖人，每個人都有他的缺點，也有他的優點。『人有不及』是說他有做得不好的地方，每個人都有。我們想到這一點，『情所宜矜』，就是我們要憐憫他，反過來要憐憫他，憐憫他這個過失，原諒他這個過失。這個人縱然很無理，『悖理』就是很無理，他這個人很不講道理，但不講道理是他的事情，於我不相干，就是跟我不相干。無理是他無理，那是他的事情，跟我本來就不相干。所以想到這裡，『本無可怒者』，想到這裡就沒什麼好生氣的，沒什麼好發脾氣的，這是他個人的事情，我們要原諒他，憐憫他的過失。　　節錄自：</w:t>
      </w:r>
      <w:r>
        <w:t>WD19-001-0002</w:t>
      </w:r>
      <w:r>
        <w:t>如何改造命運的原理與方法（第二集）　　兩分鐘開示　　（第三二一集）　　檔名：</w:t>
      </w:r>
      <w:r>
        <w:t>WD29-003-0321</w:t>
      </w:r>
      <w:r>
        <w:t>２兩分鐘開示　　（第三七七集）　　檔名：</w:t>
      </w:r>
      <w:r>
        <w:t>WD29-003-0377</w:t>
      </w:r>
      <w:r>
        <w:t>１</w:t>
      </w:r>
    </w:p>
    <w:sectPr w:rsidR="00D363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90012" w14:textId="77777777" w:rsidR="00D363A7" w:rsidRDefault="00D363A7" w:rsidP="000866B5">
      <w:r>
        <w:separator/>
      </w:r>
    </w:p>
  </w:endnote>
  <w:endnote w:type="continuationSeparator" w:id="0">
    <w:p w14:paraId="01A6F9DF" w14:textId="77777777" w:rsidR="00D363A7" w:rsidRDefault="00D363A7" w:rsidP="00086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4235" w14:textId="77777777" w:rsidR="00D363A7" w:rsidRDefault="00D363A7" w:rsidP="000866B5">
      <w:r>
        <w:separator/>
      </w:r>
    </w:p>
  </w:footnote>
  <w:footnote w:type="continuationSeparator" w:id="0">
    <w:p w14:paraId="274075C2" w14:textId="77777777" w:rsidR="00D363A7" w:rsidRDefault="00D363A7" w:rsidP="00086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B5"/>
    <w:rsid w:val="000866B5"/>
    <w:rsid w:val="007931EE"/>
    <w:rsid w:val="00D3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E37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6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6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6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6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