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EB42" w14:textId="77777777" w:rsidR="0027225B" w:rsidRDefault="0027225B">
      <w:r>
        <w:t>悟道法師晨間講話</w:t>
      </w:r>
      <w:r>
        <w:t>—</w:t>
      </w:r>
      <w:r>
        <w:t xml:space="preserve">見相同源　　悟道法師主講　　（第一八一集）　　</w:t>
      </w:r>
      <w:r>
        <w:t>2020/9/26</w:t>
      </w:r>
      <w:r>
        <w:t xml:space="preserve">　　華藏淨宗學會　　檔名：</w:t>
      </w:r>
      <w:r>
        <w:t xml:space="preserve">WD32-007-0181 </w:t>
      </w:r>
    </w:p>
    <w:p w14:paraId="5CBB19BE" w14:textId="77777777" w:rsidR="0027225B" w:rsidRDefault="0027225B">
      <w:pPr>
        <w:pStyle w:val="a3"/>
      </w:pPr>
      <w:r>
        <w:t xml:space="preserve">　　諸位同修，大家上午好。阿彌陀佛！請放掌。今天星期六，大家補下個星期連假日。今天還是大家上班前讀一遍《太上感應篇》。</w:t>
      </w:r>
      <w:r>
        <w:t xml:space="preserve"> </w:t>
      </w:r>
    </w:p>
    <w:p w14:paraId="10D774E7" w14:textId="77777777" w:rsidR="0027225B" w:rsidRDefault="0027225B">
      <w:pPr>
        <w:pStyle w:val="a3"/>
      </w:pPr>
      <w:r>
        <w:t xml:space="preserve">　　我們讀誦愈熟悉愈好，讀的遍數多，也慢慢我們能夠理解體會到《感應篇》裡面講的這些道理，進一步能在我們現前生活當中，一步一步的去把它落實，把它做到。《感應篇》講的，講一個善、一個惡。在六道輪迴，總是有善、惡，另外還有個無記，就不善不惡。無記在唯識裡面講，有有覆無記、無覆無記。無覆無記它就不是罪業，有覆無記也是一種業障，就是屬於無明，它雖然不善不惡，但是它是屬於無明這個煩惱。一般我們都是一個善，一個惡。我們的自性是清淨的，自性當中它是超越善惡，在儒家講至善，佛家講純淨純善。所以純淨純善，它已經超越善惡的一個境界。所以我們看《六祖壇經》，六祖講，「不思善，不思惡，正與麼時，那箇是明上座本來面目」。我們的心本來就清淨無染，沒有善惡。善惡怎麼來？就是當我們起心動念，分別執著就出來，有了分別、有了執著，那就有善惡。</w:t>
      </w:r>
      <w:r>
        <w:t xml:space="preserve"> </w:t>
      </w:r>
    </w:p>
    <w:p w14:paraId="34AC8475" w14:textId="77777777" w:rsidR="0027225B" w:rsidRDefault="0027225B">
      <w:pPr>
        <w:pStyle w:val="a3"/>
      </w:pPr>
      <w:r>
        <w:t xml:space="preserve">　　它本性裡面什麼都沒有，是迷了起了無明，在什麼都沒有當中，好像變成無量無邊的這些煩惱了。關鍵了解之後，修行實在講在修心，這個心跟世間唯物論、唯心論，那個唯心是不一樣的。佛法講的唯心是物資跟精神，就是心跟物它是一體，唯識裡面講「見相同源」，見分是精神，相分是物質。精神跟物質都從阿賴耶識出現，阿賴耶識從自性裡面迷了之後，一念不覺而有無明，再變成識。所以《華嚴經》講，這一切萬法，「唯心所現，唯識所變」。什麼在變？妄識，識是虛妄的，它在變，有變化的叫虛妄。自性它沒有變化，不生不滅，那是真的。妄也是從真出現的，所以真妄和合，好像我們看電視螢幕，那些景象是虛妄的，螢幕是真的，它沒有動、沒有變。妄從真出來的，所以真跟妄它是合在一體，你要看到真的從哪裡看？從妄當中去看到真的，當體是空。古大德常常用金子做比喻，「以金作器，器器皆金」，就是你要找黃金，相是虛妄，黃金可以打成一尊佛像，很莊嚴；也可以打成一條狗、一隻貓，或者打成一個白菜。你看銀樓琳瑯滿目，那些什麼都可以製造出來，幾萬件都可以製造出來，首飾、手環、戒指等等的，擺了那麼多，它的本質都是黃金。你說我不要這些相，那些相都是虛妄的，我不要這些相，我只要黃金，那也找不到黃金。</w:t>
      </w:r>
      <w:r>
        <w:t>因為黃金就是在那個相裡，那個相就是黃金，黃金變出來的，打造出來的。你說我這些統統不要，只要黃金，現在我們去買金磚一條一條，那還是一個相。所以性相它是不二，相從性生，性由相來顯，就從相當中，性就在相當中。《心經》講，「色不異空，空不異色；色即是空，空即是色」，色就是相，物質、精神，各方面的。空是什麼？本體，你要找到本體。在哪裡？就在一切相裡面，所以真妄和合。</w:t>
      </w:r>
      <w:r>
        <w:t xml:space="preserve"> </w:t>
      </w:r>
    </w:p>
    <w:p w14:paraId="59623B5E" w14:textId="77777777" w:rsidR="0027225B" w:rsidRDefault="0027225B">
      <w:pPr>
        <w:pStyle w:val="a3"/>
      </w:pPr>
      <w:r>
        <w:t xml:space="preserve">　　我們明瞭這些原理，我們知道，修行就沒有修別的，修一個心。我們從斷惡修善開始往上提升，到最後超越善惡，就超越六道；再不起心動念，超越十法界了。所以《感應篇》關鍵開頭就是「禍福無門」，這個禍福的關鍵都是從一個念頭起來的。所以後面跟前面對照，「夫心起於善，善雖未為，而吉神已隨之；或心起於惡，惡雖未為，而凶神已隨之」。所以就是說當我們起心動念，就已經判定禍福的一個果報了，起一個善念，善還沒有做，已經是吉神相隨了；起一個惡念，惡事還沒有做，已經凶神相隨了，在起心動念，它就已經感召禍福了。所以我們修行，沒有別的，修這個心，這個心瞋恨心、發脾氣，我們這個念頭起來，我們就知道地獄的業因；貪心起</w:t>
      </w:r>
      <w:r>
        <w:lastRenderedPageBreak/>
        <w:t>來，餓鬼道的業因，不管貪什麼；愚痴心，是非善惡不明，畜生道的業因。愚痴比貪瞋更可怕，貪瞋比較容易發現，痴毒不容易發現。痴毒是一種業障，業障最麻煩的就是說它就障礙你，你看好像也看不出來，它在深處。貪瞋比較容易看出來，貪心、發脾氣這個容易發現，大家比較容易，愚痴不容易發現，不明是非善惡。</w:t>
      </w:r>
      <w:r>
        <w:t xml:space="preserve"> </w:t>
      </w:r>
    </w:p>
    <w:p w14:paraId="288C6E33" w14:textId="77777777" w:rsidR="0027225B" w:rsidRDefault="0027225B">
      <w:pPr>
        <w:pStyle w:val="a3"/>
      </w:pPr>
      <w:r>
        <w:t xml:space="preserve">　　我們可以用一句來測驗自己，這個痴毒大家就比較能體會，就是《了凡四訓》講的，業障深重，他列了很多種，其中有一種叫做「或聞正論而心不樂」。正論就是正確的言論，經典講正確的言論，他聽了心生不起歡喜心，心不快樂，聽不下去。比如現在我們在聽蔡老師的《群書治要》，我們是不是有這種現象？聽了會起歡喜心，還是聽不懂，聽了沒味道？如果聽不懂、聽沒味道，他就沒有法喜，他的心不快樂，這就是業障很深重的現象。而且這個現象就是屬於痴毒，愚痴的毒，它埋在深處，你不容易發現。實在講，貪瞋都是從這個痴根源產生的。所以在《無量壽經》，黃念老《大經科註》都有引經據典，註得很清楚。所以我們現在讀了這些，會很歡喜來接觸。如果你現在有比較歡喜，業障有減輕，你有嘗到一點法味了，你就會很歡喜。如果沒有，聽了很痛苦、讀了很痛苦，師父要求，又不能不來；要來，實在很難過，沒有看手機那麼快樂。實在講，手機那個不是快樂，因為我們沒有真正嘗到什麼叫快樂，沒有真正去嘗到什麼才是真正的享受，那是外頭的刺激，那是麻醉，而且是傷害我們的法身慧命。所以聖賢佛菩薩的教育，如果你嘗到一點點，你就欲罷不能了。我們現在為什麼學得這麼痛苦？因為我們障礙還很重，障礙很重，我們還是要依</w:t>
      </w:r>
      <w:r>
        <w:t>眾靠眾。依眾靠眾，主要就是說我們一個人自己去用功這個不容易，容易懈怠。大家情況怎麼樣我不知道，我自己就這個樣子，所以我就必須依眾靠眾來勉強自己，不然自己懈怠。所以有大眾來依眾靠眾，那勉為其難的，很難受、很不喜歡，還是勉為其難這樣來做。慢慢做了，習慣了，慢慢嘗到法味，我們就不退轉。還沒有嘗到法喜之前，還會進進退退，所以大家要珍惜這個依眾靠眾的因緣。</w:t>
      </w:r>
      <w:r>
        <w:t xml:space="preserve"> </w:t>
      </w:r>
    </w:p>
    <w:p w14:paraId="2E6C6755" w14:textId="77777777" w:rsidR="0027225B" w:rsidRDefault="0027225B">
      <w:pPr>
        <w:pStyle w:val="a3"/>
      </w:pPr>
      <w:r>
        <w:t xml:space="preserve">　　好，今天就跟大家分享到這裡。祝大家福慧增長，法喜充滿。阿彌陀佛！　　</w:t>
      </w:r>
    </w:p>
    <w:sectPr w:rsidR="002722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055A" w14:textId="77777777" w:rsidR="0027225B" w:rsidRDefault="0027225B" w:rsidP="00BA5FBD">
      <w:r>
        <w:separator/>
      </w:r>
    </w:p>
  </w:endnote>
  <w:endnote w:type="continuationSeparator" w:id="0">
    <w:p w14:paraId="3A5158EF" w14:textId="77777777" w:rsidR="0027225B" w:rsidRDefault="0027225B" w:rsidP="00BA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56AFF" w14:textId="77777777" w:rsidR="0027225B" w:rsidRDefault="0027225B" w:rsidP="00BA5FBD">
      <w:r>
        <w:separator/>
      </w:r>
    </w:p>
  </w:footnote>
  <w:footnote w:type="continuationSeparator" w:id="0">
    <w:p w14:paraId="7AFF4D6C" w14:textId="77777777" w:rsidR="0027225B" w:rsidRDefault="0027225B" w:rsidP="00BA5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FBD"/>
    <w:rsid w:val="0027225B"/>
    <w:rsid w:val="007931EE"/>
    <w:rsid w:val="00BA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463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F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F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F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F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