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2D075" w14:textId="77777777" w:rsidR="00C253C3" w:rsidRDefault="00C253C3">
      <w:r>
        <w:t>悟道法師晨間講話</w:t>
      </w:r>
      <w:r>
        <w:t>—</w:t>
      </w:r>
      <w:r>
        <w:t xml:space="preserve">修行即修行念頭　　悟道法師主講　　（第二三九集）　　</w:t>
      </w:r>
      <w:r>
        <w:t>2021/3/25</w:t>
      </w:r>
      <w:r>
        <w:t xml:space="preserve">　　華藏淨宗學會　　檔名：</w:t>
      </w:r>
      <w:r>
        <w:t xml:space="preserve">WD32-007-0239 </w:t>
      </w:r>
    </w:p>
    <w:p w14:paraId="7113EF0B" w14:textId="77777777" w:rsidR="00C253C3" w:rsidRDefault="00C253C3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24C67155" w14:textId="77777777" w:rsidR="00C253C3" w:rsidRDefault="00C253C3">
      <w:pPr>
        <w:pStyle w:val="a3"/>
      </w:pPr>
      <w:r>
        <w:t xml:space="preserve">　　我們讀誦《太上感應篇》，到後面講到我們起心動念，就是「夫心起於善，善雖未為，而吉神已隨之；或心起於惡，惡雖未為，而凶神已隨之」，這兩句也是講我們起心動念。我們凡夫總是不能不起心動念，起心動念從來沒有間斷，從無始劫以來都是起心動念。講到微細的起心動念，就是《華嚴經》講的妄想，那個我們是覺察不到。我們淨老和尚講，釋迦牟尼佛問彌勒菩薩，我們一彈指有幾個剎那？幾個念頭過去？一彈指就有三十二億百千的念頭。一秒鐘，可以彈四次，後來我們老和尚又聽說有人可以一秒鐘彈七次，乘起來就有二千二百四十兆次的生滅過去了。幾乎生同時就是滅了，那個我們覺察不到，八地菩薩以上才覺察得到。禪宗不起心不動念，就是最根源的那個一念，二千二百四十兆分之一秒的念頭，那個切斷，這樣大徹大悟的。這個的確難度是比較高，上上根人可以這麼修，一般都要慢慢的去斷這個念頭。我們現在六道凡夫，我們只能先從斷惡修善這個念頭，這是很粗的念頭，我們可以覺察到的。這個很粗的念頭，一個善念，一個惡念，再來就是一個無記，無記就是它不屬於善，也不屬於惡，那個叫無記念。無記又有分有覆無記、無覆無記，《唯識論》裡面都分析得很詳細。</w:t>
      </w:r>
      <w:r>
        <w:t xml:space="preserve"> </w:t>
      </w:r>
    </w:p>
    <w:p w14:paraId="6BF698ED" w14:textId="77777777" w:rsidR="00C253C3" w:rsidRDefault="00C253C3">
      <w:pPr>
        <w:pStyle w:val="a3"/>
      </w:pPr>
      <w:r>
        <w:t xml:space="preserve">　　我們現在修學，總是從起心動念，從善惡念下手，這是我們凡夫目前能做到的。就是保持起個善念，因為我們不可能不起念，不可能做到不起心不動念，那就破無明，那就大徹大悟。起心動念，起善念、起惡念，我們天天都在起這個念頭，的確惡念多、善念少，這個也是我們的情況。所以在《了凡四訓》，衛仲達他年紀還不到四十歲，有一天就死去了，他的靈魂被勾攝到陰間去，看到陰間的判官，天平量了兩個，一個善，一個惡。那個惡的盈庭，堆起來好像到屋頂去了；那個善的，只有大概像箸子這樣一卷，只有那一卷。陰間的官吏就給他講，要來看看你善比較多，還是惡比較多？善比較重，還是惡比較重？要秤看看。看到那個惡錄盈庭，看那個樣子當然是惡比較重；善一點點，肯定很輕。他說我都還沒有四十歲，怎麼可能造那麼多惡業？造惡業有，但是不可能那麼多。陰間的冥官就給他講，他說不一定等到你去做壞事，你起一個壞念頭，司過之神他就會記過。這就是《感應篇》講的，「夫心起於善，善雖未為，而吉神已隨之；或心起於惡，惡雖未為，而凶神已隨之」，記過之神就記了。這樣講他就明白了，原來起心動念都記錄起來。惡的方面，惡的多，我們肯定也是跟衛仲達一樣。但是他那個善的是什麼？只有那一卷。結果一秤，那個善</w:t>
      </w:r>
      <w:r>
        <w:t>反而比較重，那個惡反而比較輕。他說，它裡面那是寫什麼？到底我做了什麼好事，那一點點怎麼會比較重，惡錄盈庭怎麼會反而比較輕？他說那個一小卷就是你的奏摺，當年皇帝要修三山石橋，你覺得沒有必要修那個橋，勞民傷財，你向皇帝報告，建議不要建。他說我建議是建議，但是皇帝也沒批准，還是照建。他如果批准，你的善就更大了。但是你起這一念是為全國家人民，不是為自己，你這個念是為公，所以那一點點就比較重。所以就勉勵他，你壽命還沒有到，你回陽之後，好好努力修善，將來前途無量。</w:t>
      </w:r>
      <w:r>
        <w:t xml:space="preserve"> </w:t>
      </w:r>
    </w:p>
    <w:p w14:paraId="6E55AE23" w14:textId="77777777" w:rsidR="00C253C3" w:rsidRDefault="00C253C3">
      <w:pPr>
        <w:pStyle w:val="a3"/>
      </w:pPr>
      <w:r>
        <w:t xml:space="preserve">　　所以這個就是每一天我們都是有功、有過。所以我們淨老和尚常講心量要大，你看為一個國家，現在如果你發心為整個地球，是不是這個善就更大？這個在佛法來看還是很小，你要為盡虛空遍法界一切眾生。像《金剛經》講的，要發願度無量無邊眾</w:t>
      </w:r>
      <w:r>
        <w:lastRenderedPageBreak/>
        <w:t>生入無餘涅槃，而實無眾生得滅度者。就是我們做三時繫念常常念的四弘誓願，「眾生無邊誓願度」，這是心量拓開到沒有限量，當然超過所有一切的妄念、惡念了。</w:t>
      </w:r>
      <w:r>
        <w:t xml:space="preserve"> </w:t>
      </w:r>
    </w:p>
    <w:p w14:paraId="6806603C" w14:textId="77777777" w:rsidR="00C253C3" w:rsidRDefault="00C253C3">
      <w:pPr>
        <w:pStyle w:val="a3"/>
      </w:pPr>
      <w:r>
        <w:t xml:space="preserve">　　我們現在念佛就是淨念，佛這一念就是究竟圓滿的淨念，四弘誓願統統包括在裡面。所以起一個佛念，這一念不是善念、不是惡念、不是無記念，叫做淨念。所以大勢至菩薩教我們「都攝六根，淨念相繼，不假方便，自得心開」，你就這樣念，你就破無明了，不用修其他的方法，就這樣一直念下去，起心動念，善念也好、惡念也好，在胡思亂想也好，總是用提起一句佛念來代替所有的妄念，這個就是我們淨宗修學的方法。願我們諸位同修大家共同勉勵，淨念是最圓滿、最究竟、最殊勝的念頭，就是念佛。</w:t>
      </w:r>
      <w:r>
        <w:t xml:space="preserve"> </w:t>
      </w:r>
    </w:p>
    <w:p w14:paraId="57A6D0D0" w14:textId="77777777" w:rsidR="00C253C3" w:rsidRDefault="00C253C3">
      <w:pPr>
        <w:pStyle w:val="a3"/>
      </w:pPr>
      <w:r>
        <w:t xml:space="preserve">　　好，今天就跟大家分享到這裡。祝大家福慧增長，法喜充滿。阿彌陀佛！　　</w:t>
      </w:r>
    </w:p>
    <w:sectPr w:rsidR="00C253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78E05" w14:textId="77777777" w:rsidR="00C253C3" w:rsidRDefault="00C253C3" w:rsidP="007341EA">
      <w:r>
        <w:separator/>
      </w:r>
    </w:p>
  </w:endnote>
  <w:endnote w:type="continuationSeparator" w:id="0">
    <w:p w14:paraId="35256276" w14:textId="77777777" w:rsidR="00C253C3" w:rsidRDefault="00C253C3" w:rsidP="00734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CD240" w14:textId="77777777" w:rsidR="00C253C3" w:rsidRDefault="00C253C3" w:rsidP="007341EA">
      <w:r>
        <w:separator/>
      </w:r>
    </w:p>
  </w:footnote>
  <w:footnote w:type="continuationSeparator" w:id="0">
    <w:p w14:paraId="1266F9F5" w14:textId="77777777" w:rsidR="00C253C3" w:rsidRDefault="00C253C3" w:rsidP="007341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1EA"/>
    <w:rsid w:val="007341EA"/>
    <w:rsid w:val="007931EE"/>
    <w:rsid w:val="00C2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9BE5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41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41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41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41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