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5193" w14:textId="77777777" w:rsidR="00F17DD8" w:rsidRDefault="00F17DD8">
      <w:r>
        <w:t>悟道法師晨間講話</w:t>
      </w:r>
      <w:r>
        <w:t>—</w:t>
      </w:r>
      <w:r>
        <w:t xml:space="preserve">真正修行就在起心動念之處　　悟道法師主講　　（第二八四集）　　</w:t>
      </w:r>
      <w:r>
        <w:t>2022/3/2</w:t>
      </w:r>
      <w:r>
        <w:t xml:space="preserve">　　華藏淨宗學會　　檔名：</w:t>
      </w:r>
      <w:r>
        <w:t xml:space="preserve">WD32-007-0284 </w:t>
      </w:r>
    </w:p>
    <w:p w14:paraId="18824CE5" w14:textId="77777777" w:rsidR="00F17DD8" w:rsidRDefault="00F17DD8">
      <w:pPr>
        <w:pStyle w:val="a3"/>
      </w:pPr>
      <w:r>
        <w:t xml:space="preserve">　　諸位同修，及網路前的同修，大家好。阿彌陀佛！請放掌。我們昨天跟大家學習到《太上感應篇直講．諸惡章》第一句，「苟或非義而動」，這句是總綱。這句我們從粗淺來講，就是我們起心動念，自私自利、損人利己，這個心動了，動了這個心。下面接著就「背理而行」，違背道理，違背正常的道理，就是不合理，不合理，就是背理，做出來的行為，身口意三業的行為就不合理，就造惡業了。凡是起心動念，不為自己想，為別人想、為大家想，那就是大公無私，這個是善。如果起心動念就是先想到自己，這個就是不善，這個念頭就是惡。在佛經上講，起貪瞋痴慢疑這些煩惱，起了這些念頭，我們身口的行為，造作的就是殺盜淫妄，就造這個惡業。這是從善、惡，這個因來講的。如果深入，當然就是佛經講得最徹底、最究竟。佛經講的起心動念，一念不覺而有無明，這是最根本的「非義而動」，這是講到最深、最究竟。講到比較粗淺的，就是善惡。無明，一念妄動，那個我們現在都觀察不到。所有的煩惱業障都是從這一念不覺所發展的，所謂「一念不覺生三細，境界為緣長六粗」，我們現在是境界為緣長六粗。所以我們從這個粗淺來理解，再慢慢去深入。</w:t>
      </w:r>
      <w:r>
        <w:t xml:space="preserve"> </w:t>
      </w:r>
    </w:p>
    <w:p w14:paraId="59CCB486" w14:textId="77777777" w:rsidR="00F17DD8" w:rsidRDefault="00F17DD8">
      <w:pPr>
        <w:pStyle w:val="a3"/>
      </w:pPr>
      <w:r>
        <w:t xml:space="preserve">　　儒家的四書，像《大學》也可以來互參，「非義而動」，就是《大學》講，「身有所忿懥，則不得其正」。有好樂、欲望，心不得其正；有恐懼，心不得其正。這個也是來輔助我們了解這一句，就是當我們起心動念。另外儒家講的七情五欲，「喜怒哀樂之未發，謂之中；發而皆中節，謂之和」。人都有情緒，我們是凡夫，都有七情五欲，喜怒哀樂。我們心還沒有喜怒哀樂，這個時候是中，不偏不倚。但是我們凡夫不可能沒有喜怒哀樂，遇到境界來，順境生歡喜心，逆境生瞋恚心，喜怒哀樂就來了。喜怒哀樂，如果你能夠節制，發而中節，我們不可能沒有這些情緒的發生，那發生（起來）要去調節。調節，在儒家講，用禮樂來調節，調節之後就和，不要太過，也不要不及。所以用禮樂來調劑我們的身口意三業，讓它保持一個中和，這是儒家的教學。</w:t>
      </w:r>
      <w:r>
        <w:t xml:space="preserve"> </w:t>
      </w:r>
    </w:p>
    <w:p w14:paraId="1D364F86" w14:textId="77777777" w:rsidR="00F17DD8" w:rsidRDefault="00F17DD8">
      <w:pPr>
        <w:pStyle w:val="a3"/>
      </w:pPr>
      <w:r>
        <w:t xml:space="preserve">　　「苟或非義而動」，這一句也是我們修學的一個關鍵，就是先從你的起心動念。古人觀察自己的起心動念，像了凡先生，他是記功過格。《太上感應篇彙編》裡面記載，古人也有用黑豆白豆的，就是你起一個惡念，就放一顆黑豆；起一個善念，就放一顆白豆，用兩個瓶子。剛開始在修，一天下來，從早到晚起心動念都是惡念，那個黑豆滿滿的，白豆大概二、三顆。發現原來我一天起這麼多惡念，善念那麼少，所以在這個地方努力精進用功，不斷去轉惡念為善念。惡念跟善念，基本的原則，你自私、你有私心，就是惡；你為公，你就是善。用這個標準來觀察我們的起心動念，我現在這個心、這個念頭，我這個想法是自私自利，還是為公眾？如果是自私自利，那就是惡，就要放一顆黑豆；如果是為大家，沒有為我自己，那就是善，放一個白豆。所以古人剛開始修，黑豆很多，後來努力精進，一直調整自己的念頭，慢慢的白豆增加了，黑豆減少了。到最後只有白豆，沒有黑豆。後來修了三年，他就不用了，起心動念，「靜則一念不生，動則萬善相隨」。就像俞淨意公一樣，修了三年，就達到這個境界。凡是沒有起心動念，他就沒有胡思亂想，沒有這些妄念。如果一動，那就是萬善相隨，都是為大家著想。就是修善，怎麼去利益人、怎麼去幫助人，</w:t>
      </w:r>
      <w:r>
        <w:t>沒有想到自己，這個就是萬善相隨。</w:t>
      </w:r>
      <w:r>
        <w:t xml:space="preserve"> </w:t>
      </w:r>
    </w:p>
    <w:p w14:paraId="47958F29" w14:textId="77777777" w:rsidR="00F17DD8" w:rsidRDefault="00F17DD8">
      <w:pPr>
        <w:pStyle w:val="a3"/>
      </w:pPr>
      <w:r>
        <w:lastRenderedPageBreak/>
        <w:t xml:space="preserve">　　所以「苟或非義而動」，佛法講貪瞋痴慢，如果貪瞋痴慢疑這些念頭起來，就是非義而動。《大學》講，心有忿懥，心有愛欲、好樂，心有恐懼、有得失等等的，這些都是非義而動。其實講的言辭不一樣，跟佛經講的意思是一樣，就是貪瞋痴慢。所以我們從這個地方去觀察自己的心（心態），是什麼樣的心態？那我們一個非義而動的心態，動的這個念頭不對，你做出來的行為就不對、就偏差了，那肯定就造惡業了，就會「背理而行」，你就會違背這個常理去行動了。「行」就是你去造作，做出來就是惡業，造惡業了。這兩句也是主要的綱領，「非義而動，背理而行」，引申到下面種種的惡業都出來了。所以我們從這個地方來反省自己，來檢點自己，希望我們不斷的向上提升，過日少，善日增，我們就有進步了。</w:t>
      </w:r>
      <w:r>
        <w:t xml:space="preserve"> </w:t>
      </w:r>
    </w:p>
    <w:p w14:paraId="4FA1FCAC" w14:textId="77777777" w:rsidR="00F17DD8" w:rsidRDefault="00F17DD8">
      <w:pPr>
        <w:pStyle w:val="a3"/>
      </w:pPr>
      <w:r>
        <w:t xml:space="preserve">　　好，今天我們就跟大家學習到這裡。祝大家福慧增長，法喜充滿。阿彌陀佛！</w:t>
      </w:r>
      <w:r>
        <w:t xml:space="preserve"> </w:t>
      </w:r>
      <w:r>
        <w:t xml:space="preserve">　　</w:t>
      </w:r>
    </w:p>
    <w:sectPr w:rsidR="00F17D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44C1B" w14:textId="77777777" w:rsidR="00F17DD8" w:rsidRDefault="00F17DD8" w:rsidP="001657A9">
      <w:r>
        <w:separator/>
      </w:r>
    </w:p>
  </w:endnote>
  <w:endnote w:type="continuationSeparator" w:id="0">
    <w:p w14:paraId="30064CA6" w14:textId="77777777" w:rsidR="00F17DD8" w:rsidRDefault="00F17DD8" w:rsidP="00165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3999" w14:textId="77777777" w:rsidR="00F17DD8" w:rsidRDefault="00F17DD8" w:rsidP="001657A9">
      <w:r>
        <w:separator/>
      </w:r>
    </w:p>
  </w:footnote>
  <w:footnote w:type="continuationSeparator" w:id="0">
    <w:p w14:paraId="06305FCB" w14:textId="77777777" w:rsidR="00F17DD8" w:rsidRDefault="00F17DD8" w:rsidP="001657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A9"/>
    <w:rsid w:val="001657A9"/>
    <w:rsid w:val="007931EE"/>
    <w:rsid w:val="00F1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153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7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7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7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7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