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EEFA" w14:textId="77777777" w:rsidR="00405AA7" w:rsidRDefault="00405AA7">
      <w:r>
        <w:t>悟道法師晨間講話</w:t>
      </w:r>
      <w:r>
        <w:t>—</w:t>
      </w:r>
      <w:r>
        <w:t xml:space="preserve">太上至尊，稱天立教，不可玩忽　　悟道法師主講　　（第三七四集）　　</w:t>
      </w:r>
      <w:r>
        <w:t>2023/3/15</w:t>
      </w:r>
      <w:r>
        <w:t xml:space="preserve">　　華藏淨宗學會　　檔名：</w:t>
      </w:r>
      <w:r>
        <w:t xml:space="preserve">WD32-007-0374 </w:t>
      </w:r>
    </w:p>
    <w:p w14:paraId="64CDC802" w14:textId="77777777" w:rsidR="00405AA7" w:rsidRDefault="00405AA7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457ED0BD" w14:textId="77777777" w:rsidR="00405AA7" w:rsidRDefault="00405AA7">
      <w:pPr>
        <w:pStyle w:val="a3"/>
      </w:pPr>
      <w:r>
        <w:t xml:space="preserve">　　我們《太上感應篇直講》學習過了一遍，我們今天開始接著學習《太上感應篇彙編》的節要。這個《彙編》內容很豐富、很多，可以說引用儒釋道三教經典來註解《太上感應篇》，也可以說看了這個《彙編》的註解，等於學習了儒釋道三教的經典。我們長期來讀誦學習《太上感應篇》，這個《彙編》是我們淨宗十三祖印光祖師他推薦的，在註解當中他推薦《彙編》，《彙編》註得很豐富。我們也依照我們導師上淨下空老和尚他過去做了很多節要，像《淨土集》，他有節錄經典，經典就是節錄經文，只有經文，像《無量壽經》菁華就直接節錄經文。還有祖師大德的註解，像《彌陀要解》、善導大師的《四帖疏》，還有行策大師。就是節錄註疏，哪一段經文，他將註解的部分節錄一些重要的，稱為節要。像《金剛經講義》江味農老居士的註解，內容也是相當豐富，我們淨老和尚就是把它做節要，這樣方便現代人。節要節錄出來列為一條一條，特別現代人時間都很緊張，列出一條一條，每一條可以獨立，也可以連貫，就看講解的時間長短，這樣就很方便現代人來學習。沒有時間看全部的，這些重要的開示，我們透過這樣的方式，也能夠知道一個大概，掌握一個修學核心的重點。這是我們學習我們淨老和尚用節要的方式來學習。</w:t>
      </w:r>
      <w:r>
        <w:t xml:space="preserve"> </w:t>
      </w:r>
    </w:p>
    <w:p w14:paraId="2D1ABE99" w14:textId="77777777" w:rsidR="00405AA7" w:rsidRDefault="00405AA7">
      <w:pPr>
        <w:pStyle w:val="a3"/>
      </w:pPr>
      <w:r>
        <w:t xml:space="preserve">　　《感應篇彙編》也是內容很多、很豐富，如果從頭到尾一條一條講，恐怕現代人第一個時間比較不夠，第二個恐怕現代人耐心也不夠，因為現代要接受的資訊太多了。所以現在講解簡短的是最好，一般人十五分鐘大概這個耐心還可以，如果超過了，恐怕現代人他沒有耐心聽那麼長的時間。除非是老修的人，他聽得有味道，他就聽不厭。因此這個也可以供養初學的，也可以供養老修，這兩方面也都有幫助，所以我們採用這樣的一個方式。《太上感應篇》前面的序文也很好，那個可以獨立再來節要。這個節要出來，我就把它照我們老和尚的方式，給它分段，一、二、三、四、五，比如說這句經文它裡面的註解，然後節錄它重要的，把它列為一條一條這樣，每一段都有從一開始，每一段都從一開始。我這樣畫出來，我們也隨著可以打字，那我們這一篇學習過一遍，我們也有一個《太上感應篇彙編》節要。這個書出來，我們就可以去印，也方便大家讀誦、講解。</w:t>
      </w:r>
      <w:r>
        <w:t xml:space="preserve"> </w:t>
      </w:r>
    </w:p>
    <w:p w14:paraId="760EC88C" w14:textId="77777777" w:rsidR="00405AA7" w:rsidRDefault="00405AA7">
      <w:pPr>
        <w:pStyle w:val="a3"/>
      </w:pPr>
      <w:r>
        <w:t xml:space="preserve">　　《太上感應篇》它原來的名稱是《太上感應篇註講證案彙編卷一》，「太上感應篇註」，註解；「講」就是講義；「證案」就是公案，就是實行《感應篇》得到的感應，這些效果，這些記錄，把它會集起來，彙整編成《彙編》。這裡開始，我們從第一條，第一條我節錄只有三句，「太上，至尊之稱。蓋稱天立教，示人不可玩忽之意。」「太上」這兩個字，我們在《直講》講的，就比較簡單一點。我們在《直講》裡面講，「太上曰」，太上就是太上老君，道教的一個代表。此地它是把「太上」這兩個字的意思給我們註明出來，什麼叫太上。我們說太上老君是一個人，叫李耳，姓李，這是舉出一個人的代表。此地它是給我們解釋，為什麼叫太上這兩個字？太上是什麼意思？「太上，至尊之稱」，就是最尊敬的一個稱呼。「蓋稱天立教」，立是建立，教是教化，就是根據天道之理來建立教化，來教育人民，所以不是自己隨便講的。道家講的，道法自然，就是天地自然的一個道理。在佛法講因果，法爾如是，本來就這樣，不是什麼人去安排的、去規定的，不是的，它是自然感應之理。</w:t>
      </w:r>
      <w:r>
        <w:t xml:space="preserve"> </w:t>
      </w:r>
    </w:p>
    <w:p w14:paraId="3030A250" w14:textId="77777777" w:rsidR="00405AA7" w:rsidRDefault="00405AA7">
      <w:pPr>
        <w:pStyle w:val="a3"/>
      </w:pPr>
      <w:r>
        <w:lastRenderedPageBreak/>
        <w:t xml:space="preserve">　　蓋稱天立教，「示人不可玩忽之意」，玩就是不恭敬，忽是輕忽，就是不重視，不把它當一回事。這個玩忽，我們現代人的確對這個就是玩忽了，你給他講《太上感應篇》，你給他講天地鬼神、善有善報惡有惡報，他就說你是迷信，現在什麼時代了？人都到月球去了，你還提倡迷信，你還相信這個。甚至有人說，這是古代的帝王用這個來恐嚇人民，來束縛人民，他這樣比較好管，人民比較好管。其實這些都是錯誤的看法，錯誤的觀念。科技，無論你進步到什麼時代，無論你過無量劫以後，「善有善報，惡有惡報」它是真理，它不會改變的。大家好好去思考一下，也就明白了。如果你都覺得說，「善有善報，惡有惡報」，你說沒有這一回事，那在我們眼前你要定那麼多法律幹什麼？人家做壞事，你要定法律去處罰他；好人就要鼓勵他，你定那些幹什麼？所以一點都不迷信，是事實真相。只是講到天地鬼神，我們現在沒看到，但是我們如果還不能夠深信，持保留態度，慢慢去體會，有一天你就會證實這個事情，的確是事實，不是隨便講的。這是我們學習的一個態度，所以不可以有玩忽之意。你對它這個好像沒有看在眼裡，聽這些話好像耳邊風，還是繼續造惡業，將來就有惡報，這個自己要負責，自己要自作自受。這些世出世間的聖賢，大慈大悲</w:t>
      </w:r>
      <w:r>
        <w:t>，你看苦口婆心來勸導我們。我們要能夠體會太上的意思，我們才會生起恭敬心來學習。我們學了得到好處了，我們才能夠跟別人分享。</w:t>
      </w:r>
      <w:r>
        <w:t xml:space="preserve"> </w:t>
      </w:r>
    </w:p>
    <w:p w14:paraId="54CFAFDA" w14:textId="77777777" w:rsidR="00405AA7" w:rsidRDefault="00405AA7">
      <w:pPr>
        <w:pStyle w:val="a3"/>
      </w:pPr>
      <w:r>
        <w:t xml:space="preserve">　　好，這一篇我分了十一段，我們分段來講，今天就跟大家學習到這一段。這個三句，「太上，至尊之稱。蓋稱天立教，示人不可玩忽之意」，我們今天就學習這一段。好，祝大家福慧增長，法喜充滿。阿彌陀佛！　　</w:t>
      </w:r>
    </w:p>
    <w:sectPr w:rsidR="00405A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FDE2" w14:textId="77777777" w:rsidR="00405AA7" w:rsidRDefault="00405AA7" w:rsidP="005507D4">
      <w:r>
        <w:separator/>
      </w:r>
    </w:p>
  </w:endnote>
  <w:endnote w:type="continuationSeparator" w:id="0">
    <w:p w14:paraId="3FD4113C" w14:textId="77777777" w:rsidR="00405AA7" w:rsidRDefault="00405AA7" w:rsidP="00550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40D7" w14:textId="77777777" w:rsidR="00405AA7" w:rsidRDefault="00405AA7" w:rsidP="005507D4">
      <w:r>
        <w:separator/>
      </w:r>
    </w:p>
  </w:footnote>
  <w:footnote w:type="continuationSeparator" w:id="0">
    <w:p w14:paraId="4F389410" w14:textId="77777777" w:rsidR="00405AA7" w:rsidRDefault="00405AA7" w:rsidP="00550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D4"/>
    <w:rsid w:val="00405AA7"/>
    <w:rsid w:val="005507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C0B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7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7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7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7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