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0E48F" w14:textId="77777777" w:rsidR="0043316B" w:rsidRDefault="0043316B">
      <w:r>
        <w:t>悟道法師晨間講話</w:t>
      </w:r>
      <w:r>
        <w:t>—</w:t>
      </w:r>
      <w:r>
        <w:t xml:space="preserve">起念之初，福基禍胎，已然而生　　悟道法師主講　　（第三八一集）　　</w:t>
      </w:r>
      <w:r>
        <w:t>2023/3/23</w:t>
      </w:r>
      <w:r>
        <w:t xml:space="preserve">　　華藏淨宗學會　　檔名：</w:t>
      </w:r>
      <w:r>
        <w:t xml:space="preserve">WD32-007-0381 </w:t>
      </w:r>
    </w:p>
    <w:p w14:paraId="114D2B9A" w14:textId="77777777" w:rsidR="0043316B" w:rsidRDefault="0043316B">
      <w:pPr>
        <w:pStyle w:val="a3"/>
      </w:pPr>
      <w:r>
        <w:t xml:space="preserve">　　諸位同修，及網路前的同修，大家好。阿彌陀佛！</w:t>
      </w:r>
      <w:r>
        <w:t xml:space="preserve"> </w:t>
      </w:r>
    </w:p>
    <w:p w14:paraId="588E6AC4" w14:textId="77777777" w:rsidR="0043316B" w:rsidRDefault="0043316B">
      <w:pPr>
        <w:pStyle w:val="a3"/>
      </w:pPr>
      <w:r>
        <w:t xml:space="preserve">　　我們接著來學習《太上感應篇彙編》節要。我們昨天學習到第七條，今天接著第八，「夫心起於善至凶神已隨之，更推本於起念之初，即為神所鑒，福基禍胎，宜懍懍辯之於最初也。」這一條就是給我們講《感應篇》從「夫心起於善」到「凶神已隨之」這一段，主要就是推本於起念之初，就是推到最初、最根本起心動念。這個心裡微微在動的時候，那是最初。我們起心動念是最初那個念頭剛剛生起來，這是起念之初。這個念頭剛剛起來，就被鬼神所鑒。「鑒」就是鑑察。鬼神就鑑察到了，就看到了，就知道了，知道我們起的念頭是善還是惡。所以起善念就感應吉神，起惡念就感應到凶神，這是福基禍胎的一個根本。所以都是在一個最初剛起心動念，我們起心動念才會後續發展出來造作善業、造作惡業，我們現在講的動機。就是你的動機，起心動念這一念，到底是善是惡？就是我們起心動念都已經受到鬼神的鑑察。</w:t>
      </w:r>
      <w:r>
        <w:t xml:space="preserve"> </w:t>
      </w:r>
    </w:p>
    <w:p w14:paraId="6AA2C767" w14:textId="77777777" w:rsidR="0043316B" w:rsidRDefault="0043316B">
      <w:pPr>
        <w:pStyle w:val="a3"/>
      </w:pPr>
      <w:r>
        <w:t xml:space="preserve">　　鬼神如果我們沒有起心動念，他也找不到我們。過去我們也講過金碧峰禪師的公案，還有《竹窗隨筆》蓮池大師講的，道士那個公案。就是你不起心、不動念，你就坐在他面前，他也找不到；你一起心動念，他就找到你了。所以鬼神都是根據我們人起心動念，他就能找到我們，就受到他的鑑察、監督。記善、記過，就根據起心動念，就開始記善、記過。在《了凡四訓》一個公案也很明顯，衛仲達。衛仲達他還沒有四十歲，有一天忽然就死了，到陰間去了。陰間冥官拿一個功過簿，拿出來用天平去秤。他看到冥官拿出來一卷一卷的，一堆摞起來，好像到屋頂去了，善只有一小卷，好像筷子一小卷、一點點，一個，放在善這邊；惡這邊很多，好像堆積如山這樣。冥官給他講，你看這邊是惡，這邊是善。衛仲達就很有疑惑，他說我年紀都還沒有四十歲，我怎麼可能去造那麼多的罪業？冥官跟他講，這個罪業不必等到你去造，不用等到你身口去造，到身口去造那也就相當嚴重了。就是你起心動念，你起一個不好的念頭，起一個自私自利的念頭（都是為自己沒有為別人想，自私自利的念頭），我們現在講私心，他就記過了，就是惡了。起一個不好的念頭，損人利己的念頭，佛法講貪瞋痴慢的念頭，這個念頭一起來，鬼神就知道了，他就進來了。</w:t>
      </w:r>
      <w:r>
        <w:t xml:space="preserve"> </w:t>
      </w:r>
    </w:p>
    <w:p w14:paraId="01C8B155" w14:textId="77777777" w:rsidR="0043316B" w:rsidRDefault="0043316B">
      <w:pPr>
        <w:pStyle w:val="a3"/>
      </w:pPr>
      <w:r>
        <w:t xml:space="preserve">　　在佛門，在佛門我們看悟達國師，悟達國師是十世高僧。在漢朝的時候袁盎跟晁錯的公案，悟達國師十世高僧，被他害死的冤親債主跟了他十世。你看他那個仇恨多深不放過，但是真正是高僧，持戒精嚴有護法神保護，冤親債主不得其便，沒辦法去靠近他身體不能報復。有一天皇帝送他一個沉香寶座，他起了一念傲慢心，覺得說自己很了不起，誰能跟我比？我一人之下萬人之上，皇帝都對我這麼尊敬，送我這個沉香寶座。起了這一念傲慢心，護法神就退了，等了十世的冤親債主進來了，長了人面瘡幾乎要了命，找什麼醫生都沒用。後來還好他的因緣好，他年輕的時候照顧一個生病的出家人，那個出家人是阿羅漢化身的，給他講將來你遇到有災難，到四川去找我。這個公案大家也常聽到，悟達國師他就一念，他就起這個念頭，冤親債主（鬼神）就知道，就進來了。所以我們做再大的好事，再有成就，都不能起傲慢，不能貪名逐利，不要人家去讚歎。所以這些念頭我們要能夠轉過來，不要起這個念頭。你起了這個念頭，那鬼神就鑑察到了。</w:t>
      </w:r>
      <w:r>
        <w:t xml:space="preserve"> </w:t>
      </w:r>
    </w:p>
    <w:p w14:paraId="0B47C779" w14:textId="77777777" w:rsidR="0043316B" w:rsidRDefault="0043316B">
      <w:pPr>
        <w:pStyle w:val="a3"/>
      </w:pPr>
      <w:r>
        <w:lastRenderedPageBreak/>
        <w:t xml:space="preserve">　　要起念，起善念，不要起惡念，這個就是趨吉避凶的原理。你起善念，後面也是引用元自實的公案，過去我們講過多次。他起了一個瞋恨心要去報復，姓繆的對不起我，他要去報復。還沒有去殺那個人，還沒有去造這個惡業，身口還沒有造這個惡業，凶神已經跟一大堆。後來他到他家起了一個善念，會替他的家人想，對不起的只有他一個，我殺了他，他老母親八十幾歲誰照顧？他的妻子兒女，兒女還小，誰照顧？殺他一個人，不是等於殺了他一家嗎？但是對不起我的只有姓繆這個人，我不能連累到他的家人，他就放棄報仇的念頭，這一念善心起來了。所以在軒轅廟再經過的時候，那個廟祝又看到，剛剛看到他去凶神一大堆，後來又繞回來，看到吉神一大堆。去問他什麼原因？他說出來，他才明白，才知道起一個善念，吉神就馬上感應；起一個惡念，凶神馬上就感應。所以修善斷惡要在起心動念，剛開始的時候就要去覺察到，發現惡念趕快轉過來。</w:t>
      </w:r>
      <w:r>
        <w:t xml:space="preserve"> </w:t>
      </w:r>
    </w:p>
    <w:p w14:paraId="5BBC2C46" w14:textId="77777777" w:rsidR="0043316B" w:rsidRDefault="0043316B">
      <w:pPr>
        <w:pStyle w:val="a3"/>
      </w:pPr>
      <w:r>
        <w:t xml:space="preserve">　　我們念佛人就轉成阿彌陀佛這個淨念，那是最殊勝、最圓滿的。把善念、惡念統統轉成佛念、淨念，果報就在極樂世界。所以一切法從心想生，都是我們心想去感召、感應來的。你要墮三惡道也是這個心，你要生三善道也是這個心，你要去作佛、作菩薩也是這個心，我們的心作心是，你要做什麼都是自己的心在做主。</w:t>
      </w:r>
      <w:r>
        <w:t xml:space="preserve"> </w:t>
      </w:r>
    </w:p>
    <w:p w14:paraId="5CFB568E" w14:textId="77777777" w:rsidR="0043316B" w:rsidRDefault="0043316B">
      <w:pPr>
        <w:pStyle w:val="a3"/>
      </w:pPr>
      <w:r>
        <w:t xml:space="preserve">　　好，我們這一條就學習到這裡。祝大家福慧增長，法喜充滿。阿彌陀佛！　　</w:t>
      </w:r>
    </w:p>
    <w:sectPr w:rsidR="004331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B4A8A" w14:textId="77777777" w:rsidR="0043316B" w:rsidRDefault="0043316B" w:rsidP="0085002B">
      <w:r>
        <w:separator/>
      </w:r>
    </w:p>
  </w:endnote>
  <w:endnote w:type="continuationSeparator" w:id="0">
    <w:p w14:paraId="6121ECE4" w14:textId="77777777" w:rsidR="0043316B" w:rsidRDefault="0043316B" w:rsidP="00850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3065F" w14:textId="77777777" w:rsidR="0043316B" w:rsidRDefault="0043316B" w:rsidP="0085002B">
      <w:r>
        <w:separator/>
      </w:r>
    </w:p>
  </w:footnote>
  <w:footnote w:type="continuationSeparator" w:id="0">
    <w:p w14:paraId="5D6E8E27" w14:textId="77777777" w:rsidR="0043316B" w:rsidRDefault="0043316B" w:rsidP="008500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02B"/>
    <w:rsid w:val="0043316B"/>
    <w:rsid w:val="007931EE"/>
    <w:rsid w:val="0085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DF03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00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00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00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00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