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F285" w14:textId="77777777" w:rsidR="00BD604E" w:rsidRDefault="00BD604E">
      <w:r>
        <w:t>悟道法師晨間講話</w:t>
      </w:r>
      <w:r>
        <w:t>—</w:t>
      </w:r>
      <w:r>
        <w:t xml:space="preserve">萬事皆有因果　　悟道法師主講　　（第三八六集）　　</w:t>
      </w:r>
      <w:r>
        <w:t>2023/4/7</w:t>
      </w:r>
      <w:r>
        <w:t xml:space="preserve">　　華藏淨宗學會　　檔名：</w:t>
      </w:r>
      <w:r>
        <w:t xml:space="preserve">WD32-007-0386 </w:t>
      </w:r>
    </w:p>
    <w:p w14:paraId="797A863F" w14:textId="77777777" w:rsidR="00BD604E" w:rsidRDefault="00BD604E">
      <w:pPr>
        <w:pStyle w:val="a3"/>
      </w:pPr>
      <w:r>
        <w:t xml:space="preserve">　　諸位同修，及網路前的同修，大家好。阿彌陀佛！請放掌。我們繼續來學習《太上感應篇彙編》節要第十三條，「易曰：積善之家，必有餘慶；積不善之家，必有餘殃。積者，見得善惡不止一事；餘者，見得果報不止一途。易傳檃括言之，此書條晰言之。」這一條引用《易經》的經文，「積善之家，必有餘慶」。我們一般傳統過年對聯都有寫，「積善之家，必有餘慶」。下面一句是「積不善之家，必有餘殃」，我們一般在春聯都是寫上面這兩句，「積善之家，必有餘慶」。</w:t>
      </w:r>
      <w:r>
        <w:t xml:space="preserve"> </w:t>
      </w:r>
    </w:p>
    <w:p w14:paraId="6C7D05FC" w14:textId="77777777" w:rsidR="00BD604E" w:rsidRDefault="00BD604E">
      <w:pPr>
        <w:pStyle w:val="a3"/>
      </w:pPr>
      <w:r>
        <w:t xml:space="preserve">　　這個「積」是累積的意思。善要積，累積很厚，福報就現前；不善也是累積的，累積得很多，災禍就降臨。所以這個「積」也就是說積善或者積惡，就不止一樁事情，也就是說很多的意思，善積得很多，或者是惡積得很多。如果善積得多，當然必有餘慶，餘慶就是福報，果報；惡積多了就有災殃，就受災殃，有餘殃。所以這個「餘」是「見得果報，不止一途」，就是說果報不止一種，有很多種。這個果報，佛法也講得比較詳細，一般講花報、果報，還有餘報。花報就是說，我們積善或者積不善，也就是我們現在講的現世報。這一生我們做的善事，或者造惡業，也都會有花報現前。花報也就是以植物來形容比喻，植物一般都是先開花後結果，花開得好，那個果就好；花開得不好，那個果就不好。用植物來形容比喻我們人造作善惡業，我們人還沒有死，現在現世他就會有報應，所謂現世報。現世報如果好，將來果報就在人天；如果現世報這個花報不好，將來果報就在三惡道，三惡道是果報。如果福報修得大，往往生天，或者來生到人間來享受大福報。大福報他享完了還有剩餘的，就是比較不如以前，但是他還有餘報，這個餘報就是餘慶、餘殃，有剩餘的；那個剩餘的，福報享受完了，如果沒有繼續修，也就沒有了。惡報也是一樣的，花報、果報</w:t>
      </w:r>
      <w:r>
        <w:t>，然後墮三惡道到人間來還會受到餘報。</w:t>
      </w:r>
      <w:r>
        <w:t xml:space="preserve"> </w:t>
      </w:r>
    </w:p>
    <w:p w14:paraId="135B925B" w14:textId="77777777" w:rsidR="00BD604E" w:rsidRDefault="00BD604E">
      <w:pPr>
        <w:pStyle w:val="a3"/>
      </w:pPr>
      <w:r>
        <w:t xml:space="preserve">　　這個佛法就講得比較詳細，比如釋迦牟尼佛在經上講，他作佛了，但過去世還有餘報，那個果報都是在三途的。過去久遠劫，很久以前，佛講了十種餘報，像「馬麥之報」，這是餘報；頭痛三天，這是餘報；腰痛是餘報，列出十種，都是過去世造的業因。像釋迦族被琉璃王滅族，就是把一個池塘的魚全部打撈上來，魚都被吃光了，那個魚再來投胎就投胎到印度來，就是琉璃王他們這一國。當時打撈池塘，那一個村的村民就是這一世的釋迦族，然後冤冤相報，琉璃王發動戰爭滅釋迦族。當時在捕撈這些魚的時候，釋迦牟尼佛是那個村莊的一個小孩子，他沒有去殺魚，他只是好玩，看到一條魚很大，魚王，撈到岸上來在那邊跳，小孩子好玩，拿一個木棒就在魚頭敲三下。敲魚頭，那魚頭會痛，所以這一世這個餘報，琉璃王發兵攻打釋迦族（迦毗羅衛國），釋迦牟尼佛他頭痛三天。還有一世，他是摔角大力士，恨對方把他腰摔斷了，摔死了，那果報就在三途，這一世雖然作佛，他也腰痛。所以我們現在這裡痛、那裡痛，這個都有因果的。現在你頭痛，恐怕過去也是敲魚頭或者什麼的，這個都有業報的。所以現在你說癌症痛得，地沒有洞，有洞就鑽進去了，這個都是因為殺生。佛都示現給我們看，他成佛了還受這個餘報。因果一定是相應的，因為你</w:t>
      </w:r>
      <w:r>
        <w:t>殺生，眾生會痛，我們得到的果報就是痛，但是現在人他也不相信這個。所以什麼都離不開因果，都是有因果的。</w:t>
      </w:r>
      <w:r>
        <w:t xml:space="preserve"> </w:t>
      </w:r>
    </w:p>
    <w:p w14:paraId="3B0A5FA3" w14:textId="77777777" w:rsidR="00BD604E" w:rsidRDefault="00BD604E">
      <w:pPr>
        <w:pStyle w:val="a3"/>
      </w:pPr>
      <w:r>
        <w:t xml:space="preserve">　　這裡講，引用《易經》，果報不止一種。「易傳檃括」，「檃括」就是包括。「此書條晰言之。」比如說積善之家、積不善之家，那什麼是善？什麼是不善？這個</w:t>
      </w:r>
      <w:r>
        <w:lastRenderedPageBreak/>
        <w:t>在《易經》是用這樣的話來概括，《太上感應篇》就一條一條列出來，什麼是善、什麼是惡，列得很詳細，特別「諸惡章」列出一百七十條。「積善章」列出來比《十善業道經》要詳細，《十善業道經》列了十條，那十條也是概括的，像《易經》講的一樣，概括的。所以我們淨老和尚把《弟子規》、《感應篇》、《十善業道經》列出來，我們學了《弟子規》、《感應篇》，再學《十善業道經》也就不難。特別是《感應篇》，一條一條列的都很詳細，惡有陽剛之惡、有柔弱之惡，有明顯的惡、有不明顯的惡，陽惡、陰惡，這個統統列出來，一條一條列出來。這個就是這裡講的，「此書條晰言之」，就是每一條每一條都分析，都給我們說出來，讓我們很清楚很明白哪些是善、哪些是惡，我們學習就從這個地方去體會。</w:t>
      </w:r>
      <w:r>
        <w:t xml:space="preserve"> </w:t>
      </w:r>
    </w:p>
    <w:p w14:paraId="1803BAFF" w14:textId="77777777" w:rsidR="00BD604E" w:rsidRDefault="00BD604E">
      <w:pPr>
        <w:pStyle w:val="a3"/>
      </w:pPr>
      <w:r>
        <w:t xml:space="preserve">　　好，今天就跟大家分享到這裡，祝大家福慧增長，法喜充滿。阿彌陀佛！　　</w:t>
      </w:r>
    </w:p>
    <w:sectPr w:rsidR="00BD60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B3503" w14:textId="77777777" w:rsidR="00BD604E" w:rsidRDefault="00BD604E" w:rsidP="00987DC4">
      <w:r>
        <w:separator/>
      </w:r>
    </w:p>
  </w:endnote>
  <w:endnote w:type="continuationSeparator" w:id="0">
    <w:p w14:paraId="6AAF54DB" w14:textId="77777777" w:rsidR="00BD604E" w:rsidRDefault="00BD604E" w:rsidP="0098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D076" w14:textId="77777777" w:rsidR="00BD604E" w:rsidRDefault="00BD604E" w:rsidP="00987DC4">
      <w:r>
        <w:separator/>
      </w:r>
    </w:p>
  </w:footnote>
  <w:footnote w:type="continuationSeparator" w:id="0">
    <w:p w14:paraId="49D005AD" w14:textId="77777777" w:rsidR="00BD604E" w:rsidRDefault="00BD604E" w:rsidP="00987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C4"/>
    <w:rsid w:val="007931EE"/>
    <w:rsid w:val="00987DC4"/>
    <w:rsid w:val="00BD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1DE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