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13C66" w14:textId="77777777" w:rsidR="00B04E9E" w:rsidRDefault="00B04E9E">
      <w:r>
        <w:t>悟道法師晨間講話</w:t>
      </w:r>
      <w:r>
        <w:t>—</w:t>
      </w:r>
      <w:r>
        <w:t xml:space="preserve">六經所載，精言感應之說　　悟道法師主講　　（第三八七集）　　</w:t>
      </w:r>
      <w:r>
        <w:t>2023/4/27</w:t>
      </w:r>
      <w:r>
        <w:t xml:space="preserve">　　華藏淨宗學會　　檔名：</w:t>
      </w:r>
      <w:r>
        <w:t xml:space="preserve">WD32-007-0387 </w:t>
      </w:r>
    </w:p>
    <w:p w14:paraId="1536FA49" w14:textId="77777777" w:rsidR="00B04E9E" w:rsidRDefault="00B04E9E">
      <w:pPr>
        <w:pStyle w:val="a3"/>
      </w:pPr>
      <w:r>
        <w:t xml:space="preserve">　　諸位同修，大家上午好。阿彌陀佛！請放掌。我們昨天剛從上海回來，前天到我們老和尚家鄉給他的祖父母、父母，帶一些同修去掃墓，念佛迴向。</w:t>
      </w:r>
      <w:r>
        <w:t xml:space="preserve"> </w:t>
      </w:r>
    </w:p>
    <w:p w14:paraId="792C8534" w14:textId="77777777" w:rsidR="00B04E9E" w:rsidRDefault="00B04E9E">
      <w:pPr>
        <w:pStyle w:val="a3"/>
      </w:pPr>
      <w:r>
        <w:t xml:space="preserve">　　我們上一次學習到《感應篇彙編》節要第十三條，我們今天接下來第十四，「又，《書經》所載作善降之百祥，作不善降之百殃，《詩》詠上帝鑒觀，《禮》載人事得失，《春秋》事見在前，報書於後，六經所載，精言感應之說。」這一條就是引用《書經》所記載的，「作善降之百祥，作不善降之百殃」。「《詩》詠上帝鑒觀」，《詩經》，「詠」是歌詠。《詩經》，詩可以用唱的。在這上面也講到，「上帝鑒觀」，監察的意思。《禮記》，記載人事的得失。「《春秋》事見在前，報書於後」。六經所記載的都是講感應，所以引用六經再來解釋《感應篇》。不但《感應篇》講感應，六經都是講感應。在二十五史這個歷史的記載都是講感應，因果報應這樁事情，所以無非不是感應。「善有善報，惡有惡報」，這是自然的規律，就是這樣的，也不是什麼人去設定的，因果報應，法爾如是。</w:t>
      </w:r>
      <w:r>
        <w:t xml:space="preserve"> </w:t>
      </w:r>
    </w:p>
    <w:p w14:paraId="3BFF0F0E" w14:textId="77777777" w:rsidR="00B04E9E" w:rsidRDefault="00B04E9E">
      <w:pPr>
        <w:pStyle w:val="a3"/>
      </w:pPr>
      <w:r>
        <w:t xml:space="preserve">　　《春秋》記載的也都是這些人事，《春秋》記事，《尚書》記言。右史記事，左史記言。《春秋》，記載人事的得失。人，他怎麼做法，他的思想言語行為，他所做出來的事情，對或者不對，就是根據實際上的事實記載。《尚書》記言。左史記言，言論講話，你都會被記錄。古代用右史來記事。現在，像這個錄像，這個比左史、右史又更詳細了。做事，你看我們立法院打架錄下來，比《春秋》那就更具體，還可以重播放出來看；講話，講什麼話，也都會錄下來。錄下來這些，都變成一個記錄。記錄，就是說他這個人怎麼做的，結果是怎麼樣；他怎麼說的，大家的反應是什麼樣，一句話講錯了，那招來很多的批評。所謂「一言興邦，一言喪邦」。所以這些都是講感應。</w:t>
      </w:r>
      <w:r>
        <w:t xml:space="preserve"> </w:t>
      </w:r>
    </w:p>
    <w:p w14:paraId="42F16CF8" w14:textId="77777777" w:rsidR="00B04E9E" w:rsidRDefault="00B04E9E">
      <w:pPr>
        <w:pStyle w:val="a3"/>
      </w:pPr>
      <w:r>
        <w:t xml:space="preserve">　　所以這一條也就是講，不但《感應篇》講感應，六經都講感應。這個也是給儒家讀書人，他們儒跟道能夠融會貫通，就是避免落於門戶之見，只要道理講得一樣，誰講的，哪一個宗教講的，都是可以接受的，所謂「依義不依語」，我們要從這樣來看。</w:t>
      </w:r>
      <w:r>
        <w:t xml:space="preserve"> </w:t>
      </w:r>
    </w:p>
    <w:p w14:paraId="42EE3A9D" w14:textId="77777777" w:rsidR="00B04E9E" w:rsidRDefault="00B04E9E">
      <w:pPr>
        <w:pStyle w:val="a3"/>
      </w:pPr>
      <w:r>
        <w:t xml:space="preserve">　　好！今天就跟大家分享到這裡。祝大家福慧增長，法喜充滿。阿彌陀佛。　　</w:t>
      </w:r>
    </w:p>
    <w:sectPr w:rsidR="00B04E9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FA05B" w14:textId="77777777" w:rsidR="00B04E9E" w:rsidRDefault="00B04E9E" w:rsidP="00332081">
      <w:r>
        <w:separator/>
      </w:r>
    </w:p>
  </w:endnote>
  <w:endnote w:type="continuationSeparator" w:id="0">
    <w:p w14:paraId="4517F440" w14:textId="77777777" w:rsidR="00B04E9E" w:rsidRDefault="00B04E9E" w:rsidP="003320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7A2EE" w14:textId="77777777" w:rsidR="00B04E9E" w:rsidRDefault="00B04E9E" w:rsidP="00332081">
      <w:r>
        <w:separator/>
      </w:r>
    </w:p>
  </w:footnote>
  <w:footnote w:type="continuationSeparator" w:id="0">
    <w:p w14:paraId="1B702880" w14:textId="77777777" w:rsidR="00B04E9E" w:rsidRDefault="00B04E9E" w:rsidP="003320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081"/>
    <w:rsid w:val="00332081"/>
    <w:rsid w:val="007931EE"/>
    <w:rsid w:val="00B04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49ADD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20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20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20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20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2026-08-13T01:59:00Z</dcterms:created>
  <dcterms:modified xsi:type="dcterms:W3CDTF">2026-08-13T01:59:00Z</dcterms:modified>
</cp:coreProperties>
</file>