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3EE2" w14:textId="77777777" w:rsidR="00A560E0" w:rsidRDefault="00A560E0">
      <w:r>
        <w:t>悟道法師晨間講話</w:t>
      </w:r>
      <w:r>
        <w:t>—</w:t>
      </w:r>
      <w:r>
        <w:t xml:space="preserve">毫釐有差，天地懸隔　　悟道法師主講　　（第四一二集）　　</w:t>
      </w:r>
      <w:r>
        <w:t>2023/6/29</w:t>
      </w:r>
      <w:r>
        <w:t xml:space="preserve">　　華藏淨宗學會　　檔名：</w:t>
      </w:r>
      <w:r>
        <w:t xml:space="preserve">WD32-007-0412 </w:t>
      </w:r>
    </w:p>
    <w:p w14:paraId="72D03193" w14:textId="77777777" w:rsidR="00A560E0" w:rsidRDefault="00A560E0">
      <w:pPr>
        <w:pStyle w:val="a3"/>
      </w:pPr>
      <w:r>
        <w:t xml:space="preserve">　　諸位同修，及網路前的同修，大家上午好。阿彌陀佛！請放掌。我們繼續來學習《感應篇彙編》節要，我們在第一段，「太上曰：禍福無門，惟人自召」，我們學習到第七條。我們今天接著學習第八，「《易》曰：幾者，動之微，吉凶之先見者也。於此覷得破，做得主，自然欲淨理純，動與吉會。若毫釐有差，天地懸隔矣。」</w:t>
      </w:r>
      <w:r>
        <w:t xml:space="preserve"> </w:t>
      </w:r>
    </w:p>
    <w:p w14:paraId="380ACD90" w14:textId="77777777" w:rsidR="00A560E0" w:rsidRDefault="00A560E0">
      <w:pPr>
        <w:pStyle w:val="a3"/>
      </w:pPr>
      <w:r>
        <w:t xml:space="preserve">　　這條給我們再解釋「幾」這個字。給我們講《易經》，「《易》曰」，就《易經》上講的。《易經》是我們中國最原始的一部經典，中國文化這些經典可以說都是從《易經》發展出來的。《易經》上講，給我們說明，「幾者」，幾這個字是什麼意思？「動之微」，我們起心動念，剛開始不是很明顯，就是剛開始微微的動了，這個時候叫「幾」，那還不是很明顯。雖然不明顯，這個幾就是「吉凶之先見者也」。吉凶禍福就是在這個幾，剛動的時候。我們一般的話講，動機動機，其實動機這裡就是根據《易經》來講的，你做什麼事情，你是什麼樣的動機？這個機就是我們那個心最初開始動，還不是很明顯。但是在這個微微的動，你是動善念，還是惡念，這個就是造善、造惡的一個開端，結果就是吉凶禍福。所以幾就是動之微，吉凶之先見者也，你見吉見凶都是從這個最初。你現在在起心動念，剛剛萌動，這一念就要去觀察，這一念去觀察是善，還是惡。如果是惡，那你後面發展就是往壞的方向發展，就造惡業；如果是善，往善的方向發展，就造善業。</w:t>
      </w:r>
      <w:r>
        <w:t xml:space="preserve"> </w:t>
      </w:r>
    </w:p>
    <w:p w14:paraId="117CDC37" w14:textId="77777777" w:rsidR="00A560E0" w:rsidRDefault="00A560E0">
      <w:pPr>
        <w:pStyle w:val="a3"/>
      </w:pPr>
      <w:r>
        <w:t xml:space="preserve">　　「於此覷得破」，「覷」就是我們平常講「看得破」。「覷得破」就是你要去觀察我們的起心動念，到底我現在這個念頭是善還是惡，自己要去內觀，往內心去觀照。觀照我們的起心動念，剛剛開始的時候，這個念是善還是惡？如果善當然是很好，可以保持；如果是惡念，趕快轉過來，轉成善念。我們念佛人就直接轉成淨念，但是如果你還不能馬上轉成淨念，先轉成善念。直接轉成淨念，當然是最好。但是總是我們在起心動念，不是善就是惡，再來就是無記，不善不惡。在起心動念當中，我們要能「看得破，做得主」，這句就很重要。我們平常起心動念，我們能控制、能做得了主，不隨著妄念、妄想煩惱去發展，這個能夠伏煩惱，你看得破，能夠伏得住，伏得住就做得了主，就控制得住了。</w:t>
      </w:r>
      <w:r>
        <w:t xml:space="preserve"> </w:t>
      </w:r>
    </w:p>
    <w:p w14:paraId="7E18E7B8" w14:textId="77777777" w:rsidR="00A560E0" w:rsidRDefault="00A560E0">
      <w:pPr>
        <w:pStyle w:val="a3"/>
      </w:pPr>
      <w:r>
        <w:t xml:space="preserve">　　我們有自私自利這些欲望，貪瞋痴慢這些煩惱起來，我們就要提早發現。剛剛開始萌動就要發現，這個時候要降伏比較容易。如果讓它發展起來，要降伏下來就不容易。所以要在幾微之處，就要觀察到，能夠看得破，要看清楚我的起心動念善還是惡，在這個當中我們才能做得了主，斷惡修善，才能做得了主，惡念要轉成善念。「自然欲淨理純」，「欲」就是人欲，這儒家講的人欲，佛家講貪瞋痴慢，這個就是欲，煩惱。煩惱盡了，理就純了。這個理在儒家講天理，一個人欲，一個天理。所以儒家講格物，就是當我們人的自私自利，人欲，貪瞋痴慢起來的時候，這個是人欲，人的欲望、欲念萌動，天理跟人欲要格鬥，這叫格物，物欲，你戰勝了物欲，那你就做得了主。如果勝不過物欲，壓不住煩惱，那就叫煩惱做主了。所以儒家講天理人欲，天理它是無私的，公心；人欲就是自私自利、名聞利養、五欲六塵、貪瞋痴慢，這個就是人欲。佛家講的比較詳細，儒家講人欲，天理。天理就是經典上講，不貪、不瞋、不痴，那就是天理；貪瞋痴就是人欲。所以我們在這個起心動念能看得破，能認識清楚，能做得主，自然欲盡，人欲就盡了，就沒有了，天理就存了。「動與吉會」，我們所有的身口意三業這些行為，你起心動念都跟吉祥相會。《感應篇》</w:t>
      </w:r>
      <w:r>
        <w:t>到後</w:t>
      </w:r>
      <w:r>
        <w:lastRenderedPageBreak/>
        <w:t>面有一句我們要常常記住、提起，「夫心起於善，善雖未為，而吉神已隨之；或心起於惡，惡雖未為，而凶神已隨之」。我們起心動念，起個善念，好事還沒做，吉神就來了；起個惡念，壞事還沒做，馬上感召凶神就來了。所以起心動念就是感應之幾，就在我們的起心動念。</w:t>
      </w:r>
      <w:r>
        <w:t xml:space="preserve"> </w:t>
      </w:r>
    </w:p>
    <w:p w14:paraId="1C7E7176" w14:textId="77777777" w:rsidR="00A560E0" w:rsidRDefault="00A560E0">
      <w:pPr>
        <w:pStyle w:val="a3"/>
      </w:pPr>
      <w:r>
        <w:t xml:space="preserve">　　「若毫釐有差，天地懸隔矣」，毫釐有差就是「差之毫釐，失之千里」。如果剛開始那個一點點錯了，一直發展下去，愈來愈偏差，那就愈差愈遠，愈多了。所以我們在這個起心動念當中，我們要從這個地方來用功，來下功夫，這個才是真正的修行，功夫才會得力，這個也是我們念佛，幫助我們功夫得力很重要的一個原則。</w:t>
      </w:r>
      <w:r>
        <w:t xml:space="preserve"> </w:t>
      </w:r>
    </w:p>
    <w:p w14:paraId="39D379D5" w14:textId="77777777" w:rsidR="00A560E0" w:rsidRDefault="00A560E0">
      <w:pPr>
        <w:pStyle w:val="a3"/>
      </w:pPr>
      <w:r>
        <w:t xml:space="preserve">　　好，今天就跟大家分享到這裡。祝大家福慧增長，法喜充滿。阿彌陀佛！　　</w:t>
      </w:r>
    </w:p>
    <w:sectPr w:rsidR="00A560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545DC" w14:textId="77777777" w:rsidR="00A560E0" w:rsidRDefault="00A560E0" w:rsidP="008164D0">
      <w:r>
        <w:separator/>
      </w:r>
    </w:p>
  </w:endnote>
  <w:endnote w:type="continuationSeparator" w:id="0">
    <w:p w14:paraId="5D609FDB" w14:textId="77777777" w:rsidR="00A560E0" w:rsidRDefault="00A560E0" w:rsidP="00816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2BDF0" w14:textId="77777777" w:rsidR="00A560E0" w:rsidRDefault="00A560E0" w:rsidP="008164D0">
      <w:r>
        <w:separator/>
      </w:r>
    </w:p>
  </w:footnote>
  <w:footnote w:type="continuationSeparator" w:id="0">
    <w:p w14:paraId="03308A66" w14:textId="77777777" w:rsidR="00A560E0" w:rsidRDefault="00A560E0" w:rsidP="00816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D0"/>
    <w:rsid w:val="007931EE"/>
    <w:rsid w:val="008164D0"/>
    <w:rsid w:val="00A5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1AF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