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E4A0" w14:textId="77777777" w:rsidR="00A07C3A" w:rsidRDefault="00A07C3A">
      <w:r>
        <w:t>悟道法師晨間講話</w:t>
      </w:r>
      <w:r>
        <w:t>—</w:t>
      </w:r>
      <w:r>
        <w:t xml:space="preserve">世人不悟，置焉不察　　悟道法師主講　　（第四七五集）　　</w:t>
      </w:r>
      <w:r>
        <w:t>2024/7/30</w:t>
      </w:r>
      <w:r>
        <w:t xml:space="preserve">　　華藏淨宗學會　　檔名：</w:t>
      </w:r>
      <w:r>
        <w:t xml:space="preserve">WD32-007-0475 </w:t>
      </w:r>
    </w:p>
    <w:p w14:paraId="0B69ACC3" w14:textId="77777777" w:rsidR="00A07C3A" w:rsidRDefault="00A07C3A">
      <w:pPr>
        <w:pStyle w:val="a3"/>
      </w:pPr>
      <w:r>
        <w:t xml:space="preserve">　　諸位同修，大家上午好。阿彌陀佛！請放掌。上一次我翻錯頁，「善惡之報，如影隨形」，這個節要還沒有講完，因為又貼了一個紅的標籤，看錯了，就跳到「算盡則死」。我們今天再回到「善惡之報，如影隨形」這個經文的節要第十四條。</w:t>
      </w:r>
      <w:r>
        <w:t xml:space="preserve"> </w:t>
      </w:r>
    </w:p>
    <w:p w14:paraId="7015781F" w14:textId="77777777" w:rsidR="00A07C3A" w:rsidRDefault="00A07C3A">
      <w:pPr>
        <w:pStyle w:val="a3"/>
      </w:pPr>
      <w:r>
        <w:t xml:space="preserve">　　「十四、但世人不悟，置焉不察。其報之遠者，固不及見矣。即及見之，其尋常順逆，既忽之而不覺；至大迪吉、大逆凶之可信者，又援他不盡驗之事，以自眩自疑，沈豫不反。」這一條也是講「善惡之報，如影隨形」，這個我們不要說一般人他有懷疑，就是我們學佛信佛的人，我們對佛講的善惡因果報應，我們當然也相信，但是總是免不了還是有疑惑，所謂半信半疑。這個居大多數，半信半疑。完全不信的人他不會來學佛，他完全不信的。學了佛總是信了，但是這個信當中還是有疑惑在，為什麼？因為佛說「善有善報，惡有惡報」，看到一些造惡業的，不但也沒有怎麼樣，反而更好；看到那個做善事的，好像也沒有比較好，還遭遇到很多不幸的災難，於是乎心裡就起了疑惑。這一樁事情我們還是要深入經教，再來對照我們現實生活發生的事情（周邊發生的事），特別是三世因果。這個善我們也要互參《了凡四訓》講的「積善之方」，「積善之方」講做善事，善有大有小、有難有易、有陰有陽、有半有滿、有偏有正、有端有曲，講了八對。可見得這個善當中，我們如果不認識清楚，往往我們修的善是不是真善，那也不一定。</w:t>
      </w:r>
      <w:r>
        <w:t xml:space="preserve"> </w:t>
      </w:r>
    </w:p>
    <w:p w14:paraId="02AE41D0" w14:textId="77777777" w:rsidR="00A07C3A" w:rsidRDefault="00A07C3A">
      <w:pPr>
        <w:pStyle w:val="a3"/>
      </w:pPr>
      <w:r>
        <w:t xml:space="preserve">　　特別我現在在</w:t>
      </w:r>
      <w:r>
        <w:t>Youtube</w:t>
      </w:r>
      <w:r>
        <w:t>的網路看到，現在有人把我們十八年前，我請北京陳曉旭居士他們公司，還有我們台灣中視的一個王時正導演拍的《俞淨意公遇灶神記》，現在都放上去，這個好事。《俞淨意公遇灶神記》，這個也是給我們世人很大一個啟示，印光大師說它這一篇的文章可以來補充說明《了凡四訓》，這一部分《了凡四訓》還沒有講到，就是意惡。俞先生，你看他也組一個社團，像我們現在的社團法人，古代明朝就有了，他那個社叫做文昌社，就是一些讀書人大家發心來結一個社團。這個社團也是我們現在講，做社會公益事業，就是放生、做慈濟、勸善等等的，做這些善事，他也做了很多年。但是他的命運是愈來愈不好，生了九個兒女，死了七個，一個兒子失蹤，剩下一個女兒。他的太太哭兒女，哭到眼睛都瞎了。這個我們現在看到死了一個兒女，哭得都快瞎了，她死了七個，她怎麼會不瞎？這個俞淨意公他就很不平，我讀書積德，難道都沒有善行嗎？怎麼上天給我這種果報這麼悽慘？考試都考不上，他很不平。但是他有一個好處，就是他對他家的灶神非常恭敬，每一年都是燒疏文，除夕的那一天燒疏文請灶神代向上帝報告，他做了這麼多好事，怎麼給我處罰這種果報。後來他這個誠心也感應灶神來現身跟他說法，指出他的錯誤。因為他修的因</w:t>
      </w:r>
      <w:r>
        <w:t>不真實，不是真的善。就像《了凡四訓》講，不是真善，是假善。你不是真的善，招感的果報當然就不善。《楞嚴經》講，「因地不真，果招迂曲。」你修因修的不是真的，你果報招感就是很迂曲。</w:t>
      </w:r>
      <w:r>
        <w:t xml:space="preserve"> </w:t>
      </w:r>
    </w:p>
    <w:p w14:paraId="721F8879" w14:textId="77777777" w:rsidR="00A07C3A" w:rsidRDefault="00A07C3A">
      <w:pPr>
        <w:pStyle w:val="a3"/>
      </w:pPr>
      <w:r>
        <w:t xml:space="preserve">　　所以這個是從修因上，你要去對照、去檢討。所以這個也是要學習才知道。我們要做一點好事，沒有學這些經教，真的，我們做的好事到底是真善，還是不是真善，都搞不清楚。有時候這個真善當中又有夾雜一些不善的，不善當中也有一些善的，這個《了凡四訓》分析得很清楚，再把《俞淨意公》這一篇再把它合起來，那就很完整了，我們對這個善就有一個很清晰、很正確的概念。所以我們現在看到的善惡，我們表面的、粗的，大家都可以看得出來，但是比較細的、比較錯綜複雜的，如果沒有深</w:t>
      </w:r>
      <w:r>
        <w:lastRenderedPageBreak/>
        <w:t>入經教，我們一般人就很難去辨別。我們這一條講，「世人不悟，置焉不察」。世人不悟，為什麼不悟？他不去觀察、不去學習。所以，「其報之遠者，固不及見矣」。果報比較遠，比如說他的果報是在晚年，或者是在來生來世，那個都看不到。有一些不要說到來生來世，就是這一生到晚年，幾十年後，有的我們也看不到。「固不及見矣」，當然果報遠的我們看不到。「即及見之」，我們即使可以看到的，我們現在即使可以看到的。「其尋常順逆，既忽之而不覺。」其實平常你去看一個人的言語造作，馬上它就有一些回應，善有善的回應，惡有惡的回應。我們平常這個順境逆境，我們是疏忽。「忽之」就是疏忽了，沒有去覺察。「至大迪吉、大逆凶之可信者，又援他不盡驗之事」，就是大吉大凶。大吉大凶這個都可以相信的，但是不相信的人他又會拿一些，「不盡驗」就是說你看到這個人他做了什麼壞事，他果報來了，他又會舉出那一個人他不是也做那麼大的惡事，他都沒果報，他就拿這個來否定，就是這個意思。所以「自眩自疑」，自己炫耀自己講出的好像很有道理，但是自己還是心裡有疑惑。「沈豫不反。」如果等到他年紀大了、業力久了，這個人已經老了，但是你那個惡的習氣毛病愈老就愈不好改，就改不過來。所以這個改過修善愈早愈</w:t>
      </w:r>
      <w:r>
        <w:t>好，愈早愈好改，愈晚就愈不好改，這是在這裡勉勵我們的話。</w:t>
      </w:r>
      <w:r>
        <w:t xml:space="preserve"> </w:t>
      </w:r>
    </w:p>
    <w:p w14:paraId="3EC387D7" w14:textId="77777777" w:rsidR="00A07C3A" w:rsidRDefault="00A07C3A">
      <w:pPr>
        <w:pStyle w:val="a3"/>
      </w:pPr>
      <w:r>
        <w:t xml:space="preserve">　　好，今天就跟大家學習分享到這裡。祝大家福慧增長，法喜充滿。阿彌陀佛！　　</w:t>
      </w:r>
    </w:p>
    <w:sectPr w:rsidR="00A07C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16C11" w14:textId="77777777" w:rsidR="00A07C3A" w:rsidRDefault="00A07C3A" w:rsidP="007E3532">
      <w:r>
        <w:separator/>
      </w:r>
    </w:p>
  </w:endnote>
  <w:endnote w:type="continuationSeparator" w:id="0">
    <w:p w14:paraId="5BDF4723" w14:textId="77777777" w:rsidR="00A07C3A" w:rsidRDefault="00A07C3A" w:rsidP="007E3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45E71" w14:textId="77777777" w:rsidR="00A07C3A" w:rsidRDefault="00A07C3A" w:rsidP="007E3532">
      <w:r>
        <w:separator/>
      </w:r>
    </w:p>
  </w:footnote>
  <w:footnote w:type="continuationSeparator" w:id="0">
    <w:p w14:paraId="02BE577E" w14:textId="77777777" w:rsidR="00A07C3A" w:rsidRDefault="00A07C3A" w:rsidP="007E3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32"/>
    <w:rsid w:val="007931EE"/>
    <w:rsid w:val="007E3532"/>
    <w:rsid w:val="00A0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A0D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5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5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5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5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