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C263" w14:textId="77777777" w:rsidR="003B29BD" w:rsidRDefault="003B29BD">
      <w:r>
        <w:t xml:space="preserve">２Ｏ１８年道德講堂光碟教學課程第四季開示　　悟道法師主講　　（第五集）　　</w:t>
      </w:r>
      <w:r>
        <w:t>2018/11/27</w:t>
      </w:r>
      <w:r>
        <w:t xml:space="preserve">　　台灣台北靈巖山寺雙溪小築三重淨宗別院　　檔名：</w:t>
      </w:r>
      <w:r>
        <w:t xml:space="preserve">WD32-023-0005 </w:t>
      </w:r>
    </w:p>
    <w:p w14:paraId="40E05C61" w14:textId="77777777" w:rsidR="003B29BD" w:rsidRDefault="003B29BD">
      <w:pPr>
        <w:pStyle w:val="a3"/>
      </w:pPr>
      <w:r>
        <w:t xml:space="preserve">　　第十七集我們都聽過了，聽了一遍，大概有一點概念。我們今天聽的這幾段也非常重要，在第十九集第一段，這一段就是我們生活要正常。周宣王「早臥晏起」，晏起就是晚起，起得很晚，很早就睡了，那也還好，現代是晚睡晚起，現代是這樣的情況。姜后要勸宣王，有她的善巧方便，她自己請罪。她沒有先去指責，她自己請罪，讓宣王他自己反省，後來他就改過來了。第二段，「有善則反之於身，有過則歸之於民」。這是講桀紂，好的都是歸功自己，有過錯都指責人民。這樣過失都推給人民，「則民怒」，人民就憤怒了；「有善而反之於身，則身驕」，身驕，就過都推給人民，好的都是歸我，歸這個君王，這樣自己身就會驕，驕就是驕傲、驕慢，好像感覺好的都是自己的功勞，過，統統是人民的過。如果是這樣的話，人民他就很憤怒了，把這個責任都推給人民，不負責任。好的都往自己身上攬，自己增長驕奢、驕慢，人民非常憤怒，這是失身，過失。「可毋慎乎？」應該反過來，過自己承當，善統統給人民。</w:t>
      </w:r>
      <w:r>
        <w:t xml:space="preserve"> </w:t>
      </w:r>
    </w:p>
    <w:p w14:paraId="7A44DE5C" w14:textId="77777777" w:rsidR="003B29BD" w:rsidRDefault="003B29BD">
      <w:pPr>
        <w:pStyle w:val="a3"/>
      </w:pPr>
      <w:r>
        <w:t xml:space="preserve">　　所以我到福建漳浦，台灣叫天仁茗茶，在大陸叫天福，它以前倒閉了，做證券倒閉。我在二ＯＯ五年到洛杉磯講經，他的太太來聽講，供養紅包，還送了一本書給我，寫她先生的這些經過。她就勸我，如果有到大陸去，去看看他們那個天福。實在講他那個企業倒下去，要東山再起是很難的，沒有人敢相信他了。後來還是有個股東借他幾百萬，他到大陸去東山再起。人一個成敗，總是有他的因素。我去漳浦看到他把高速公路休息站整個都包了，在休息站他有寫一句話，它說過失老板承擔，所有的過失我承擔，所有的功勞全部給員工，過失不推給員工。我看到這句話我就知道，他能夠再做成功就是這個道理。所以跟這個地方都反過來。所以當老板的，不能說自己都沒錯，統統你們的錯，功勞都是我的功勞，過失統統是你們的，這樣肯定要失敗的，這是我們值得借鏡、學習的。</w:t>
      </w:r>
      <w:r>
        <w:t xml:space="preserve"> </w:t>
      </w:r>
    </w:p>
    <w:p w14:paraId="3F13698E" w14:textId="77777777" w:rsidR="003B29BD" w:rsidRDefault="003B29BD">
      <w:pPr>
        <w:pStyle w:val="a3"/>
      </w:pPr>
      <w:r>
        <w:t xml:space="preserve">　　治身，第三段，「長民治國之本在身」，就是《大學》裡面講，「自天子以至於庶人，壹是皆以修身為本」。修自己，沒有說自己身修得很好國會很亂那不會的。國會很亂，肯定自己修不好，自己要檢討，要反省，不能推卸責任。沒有這個道理，所以要反身，反過來檢討自身。第四段，「無常安之國，無恆治之民。得賢者則安昌，失之者則危亡。自古及今，未有不然者也」。一個國家沒有長時間的安定，也沒有永恆的能夠順服統治的民眾，所以都有興衰，有治有亂。關鍵在哪裡？要有賢者，你用的人。用的人不是賢人，那就亂了，亂套了，他一點事情都給你辦不好而且亂來，這個就危了，就危險了。我們讀這個，再來看看我們國家社會，答案就出來了，你用的是什麼人。第五，齊桓公得到管仲，「九合諸侯，一匡天下」。他用到管仲，他是賢臣，所以他能夠九合諸侯，一匡天下。當時五霸，稱霸，五霸之一。管仲死了，管仲勸他不要用哪些人，他偏偏用，到最後死無葬身之地，死到屍體都腐爛，屍蟲都跑出來，大家才發現。可見得要知人善用，你要認識人，這個人他能做什麼、是什麼人，你要認識人。</w:t>
      </w:r>
      <w:r>
        <w:t xml:space="preserve"> </w:t>
      </w:r>
    </w:p>
    <w:p w14:paraId="66C5496C" w14:textId="77777777" w:rsidR="003B29BD" w:rsidRDefault="003B29BD">
      <w:pPr>
        <w:pStyle w:val="a3"/>
      </w:pPr>
      <w:r>
        <w:t xml:space="preserve">　　我們時間到了，最後這段也很重要，不聽信讒言，讒言就是我們佛法講的妄語、兩舌、綺語、惡口這些，這種口的惡業。離間，剛才講到這個離間就是兩舌，破壞兩人之間的情感，有人故意去破壞，所以不能輕易的聽信讒言。但是這個我們要常常提醒自己，往往在旁邊很多人跟我們講這個、講那個，講了很多，聽一遍，還沒有感</w:t>
      </w:r>
      <w:r>
        <w:lastRenderedPageBreak/>
        <w:t>覺；聽兩遍，有一點點感覺；聽第三遍，大概就是這樣的。我們有時候聽這些話，我們心情要冷靜、平靜，很冷靜來分析、來判斷。最重要要去了解，要去調查，先持保留態度，這個是比較妥當，也不能一聽馬上就相信了。這個就好像法院法官在判案，你總不能聽原告告某某人、指控某某人什麼，然後就把被告抓來馬上給他判罪，這樣可能常常冤枉人，大概全世界沒有這樣的法官。應該怎麼樣？原告指控這個人，你要找被告來問，他說你這樣，是不是這樣？這個當中再去判斷。我們往往很容易聽一面之詞，人家一講某某人怎麼樣，我們一下子就相信、就聽進去了，跑去把那個人臭罵一頓了，那個人他也覺得莫名其妙。應該先找他來問一問，了解了解，這樣是比較妥當。這些地方都是值得我們學習的。這個當中有是非善惡，真妄邪正，也是我們要很冷靜的去分析、去判斷到底是什麼情況。這些都是世故人情，都是做人處世的道理，我們不能感情用事，也不能意氣用事，這樣我們待人處事才會正確。</w:t>
      </w:r>
      <w:r>
        <w:t xml:space="preserve"> </w:t>
      </w:r>
    </w:p>
    <w:p w14:paraId="399E9019" w14:textId="77777777" w:rsidR="003B29BD" w:rsidRDefault="003B29BD">
      <w:pPr>
        <w:pStyle w:val="a3"/>
      </w:pPr>
      <w:r>
        <w:t xml:space="preserve">　　好，我們時間到了，現在大家用午齋。祝大家禪悅為食，法喜充滿，阿彌陀佛。　　</w:t>
      </w:r>
    </w:p>
    <w:sectPr w:rsidR="003B2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6B17" w14:textId="77777777" w:rsidR="003B29BD" w:rsidRDefault="003B29BD" w:rsidP="00154509">
      <w:r>
        <w:separator/>
      </w:r>
    </w:p>
  </w:endnote>
  <w:endnote w:type="continuationSeparator" w:id="0">
    <w:p w14:paraId="195696D7" w14:textId="77777777" w:rsidR="003B29BD" w:rsidRDefault="003B29BD" w:rsidP="00154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53245" w14:textId="77777777" w:rsidR="003B29BD" w:rsidRDefault="003B29BD" w:rsidP="00154509">
      <w:r>
        <w:separator/>
      </w:r>
    </w:p>
  </w:footnote>
  <w:footnote w:type="continuationSeparator" w:id="0">
    <w:p w14:paraId="4484A792" w14:textId="77777777" w:rsidR="003B29BD" w:rsidRDefault="003B29BD" w:rsidP="00154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09"/>
    <w:rsid w:val="00154509"/>
    <w:rsid w:val="003B29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6DA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