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3099" w14:textId="77777777" w:rsidR="00537414" w:rsidRDefault="00537414">
      <w:r>
        <w:t>雙溪小築護國息災繫念法會開示</w:t>
      </w:r>
      <w:r>
        <w:t>—</w:t>
      </w:r>
      <w:r>
        <w:t xml:space="preserve">善惡不能代替　　悟道法師主講　　（第二十八集）　　</w:t>
      </w:r>
      <w:r>
        <w:t>2020/12/12</w:t>
      </w:r>
      <w:r>
        <w:t xml:space="preserve">　　台灣台北靈巖山寺雙溪小築　　檔名：</w:t>
      </w:r>
      <w:r>
        <w:t xml:space="preserve">WD32-072-0028 </w:t>
      </w:r>
    </w:p>
    <w:p w14:paraId="51DE2A15" w14:textId="77777777" w:rsidR="00537414" w:rsidRDefault="00537414">
      <w:pPr>
        <w:pStyle w:val="a3"/>
      </w:pPr>
      <w:r>
        <w:t xml:space="preserve">　　諸位同修，及網路前的同修，大家上午好，阿彌陀佛！請放掌。</w:t>
      </w:r>
      <w:r>
        <w:t xml:space="preserve"> </w:t>
      </w:r>
    </w:p>
    <w:p w14:paraId="530152ED" w14:textId="77777777" w:rsidR="00537414" w:rsidRDefault="00537414">
      <w:pPr>
        <w:pStyle w:val="a3"/>
      </w:pPr>
      <w:r>
        <w:t xml:space="preserve">　　很歡迎大家到山上來做護國息災百七繫念，以及我們網路前的同修，大家在網路前一起來參加這個護國息災百七繫念。有我們現場的同修，以及網路前的同修，也有很多家屬剛過世的，來隨做繫念法會，這個也非常殊勝。</w:t>
      </w:r>
      <w:r>
        <w:t xml:space="preserve"> </w:t>
      </w:r>
    </w:p>
    <w:p w14:paraId="74D72C21" w14:textId="77777777" w:rsidR="00537414" w:rsidRDefault="00537414">
      <w:pPr>
        <w:pStyle w:val="a3"/>
      </w:pPr>
      <w:r>
        <w:t xml:space="preserve">　　我們在《仁王護國經》講，就是人間還沒有動亂、災難，鬼神先亂，這是在《仁王護國經》有講。《仁王般若護國經》這部經主要講的就是護國息災，佛在這部經講護國息災的理論方法，有講到這段經文。這段經文也是我們淨老和尚在十二年前，在他的家鄉安徽廬江實際禪寺，啟請主持滿公老和尚啟建百七繫念護國息災大法會，也是根據這個經文來的。所以這部《仁王護國經》講得很詳細，就是人間沒亂，鬼神先亂。鬼神道亂了，人間的政治方面，各方面，天災人禍就一起來了，這個經典講得非常詳細。因此要息災，首先安撫鬼神，鬼神屬於陰，陽上屬於陽，這會互相影響。因此護國息災也跟我們一般講超度、超薦有密切關係。這個是世間一般人他不能夠理解的，我們如果沒有學佛，讀到佛經，我們也不知道。佛大慈大悲給我們講出來，給我們指導，讓我們知道怎麼來做，才能達到護國息災這個目標。當然有很多人他不信佛，他不相信這個，認為這些都是迷信，沒有科學根據，當然這個也很正常，我們如果沒有學佛，可能也是跟他們一樣。學佛的人總是比一般人要明白，一些宇宙人生事實的真相。</w:t>
      </w:r>
      <w:r>
        <w:t xml:space="preserve"> </w:t>
      </w:r>
    </w:p>
    <w:p w14:paraId="7DC4EC9D" w14:textId="77777777" w:rsidR="00537414" w:rsidRDefault="00537414">
      <w:pPr>
        <w:pStyle w:val="a3"/>
      </w:pPr>
      <w:r>
        <w:t xml:space="preserve">　　好，今天悟道臨時來山上參加這個法會，一方面主要我們這個是護國息災，還有我們有一些同修，以及網路前的同修，有些家屬剛剛過世，來迴向給他們。另外我們淨老和尚現在年紀也大了，身體也不好，也迴向給他的冤親債主。因為身體不好，根據《地藏經》講，就是跟殺生有關。他在過去講經的時候常常講，他年輕的時候，十幾歲，跟他父親打獵打了三年。他父親是當軍人，管槍械的、管子彈的，所以拿槍、子彈就很方便，所以天天跟著父親山上打獵，打了三年，槍法都很準，練得很準。他的父親四十五歲過世的，他父親過世的時候是瘦得皮包骨，看到山往山上衝，看到水往水裡鑽；人那麼瘦，冤親債主來，力大無窮，好幾個人攔不住的，後來四十五歲就過世了。我們老和尚也是給人家算命，四十五歲；他們的家族，他的伯父也是四十五歲走的，所以他也很相信。因為這一生他有緣到台灣來，遇到三位我們當代的大善知識，方東美教授接引他入佛門，章嘉大師給他奠定學佛的基礎，跟李炳南老居士學習經教，所以發願弘法利生，把命運改過來了。今年九十四歲了，快過年了，所以他延壽延了五十年。但是這個殺生之業，還是有他的業報，那都是重業輕報。現在也有台灣、大陸一些同修放生，迴向給老和尚。</w:t>
      </w:r>
      <w:r>
        <w:t xml:space="preserve"> </w:t>
      </w:r>
    </w:p>
    <w:p w14:paraId="06B64258" w14:textId="77777777" w:rsidR="00537414" w:rsidRDefault="00537414">
      <w:pPr>
        <w:pStyle w:val="a3"/>
      </w:pPr>
      <w:r>
        <w:t xml:space="preserve">　　佛法講因果，善有善報，惡有惡報，善惡不能代替。善有善報，惡有惡報，看哪個業先成熟，哪個先報。好像那個水果，哪個先成熟，哪個先吃；還不成熟，等到時間到了，它才能吃，這是善惡果報的道理。這個殺生，比如說，你現在放的這批眾生不是你以前殺的那批眾生，那你沒有辦法說，我現在放這批眾生，那你們就算了吧！你們以前被我殺了，我現在在放生。如果那個被殺的眾生牠有學佛，牠說好吧；如果牠沒有學佛，你放的是牠，你殺的是我，牠還是要討，對不對？好像說你給人家借錢，跟甲借錢，然後你拿錢布施給乙，你說我現在修布施了，我以前跟你借的，你就</w:t>
      </w:r>
      <w:r>
        <w:lastRenderedPageBreak/>
        <w:t>不要跟我要了，那個甲肯不肯？可能他還是要討那個債。所以善惡因果它不能互相去代替。所以大家不要懷疑，為什麼我們都做這麼多好事還這樣？要知道善有善報，惡有惡報，哪一個先成熟，哪一個先報。你現在做的善，時間還沒到，將來成熟，你就有好報出來。所以我們現在看到很多為非作歹的，過得還不錯，是過去他也有做好事，所以他現在在享受他以前的福報；他享受以前的福報，這一生又沒有繼續修善，斷惡修善，他過去修的福報享盡了，這一生造的惡業成熟了，惡報會現前。所以佛門有句話講，「善有善報，惡有惡報，不是不報，時辰未到」。</w:t>
      </w:r>
      <w:r>
        <w:t xml:space="preserve"> </w:t>
      </w:r>
    </w:p>
    <w:p w14:paraId="191BCE76" w14:textId="77777777" w:rsidR="00537414" w:rsidRDefault="00537414">
      <w:pPr>
        <w:pStyle w:val="a3"/>
      </w:pPr>
      <w:r>
        <w:t xml:space="preserve">　　好，今天我們也非常歡迎大家來參與這個繫念法會，大家一定得到佛力的加持，身心安康、闔家平安。我們現在來午供，阿彌陀佛！　　</w:t>
      </w:r>
    </w:p>
    <w:sectPr w:rsidR="005374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BCD46" w14:textId="77777777" w:rsidR="00537414" w:rsidRDefault="00537414" w:rsidP="0085795A">
      <w:r>
        <w:separator/>
      </w:r>
    </w:p>
  </w:endnote>
  <w:endnote w:type="continuationSeparator" w:id="0">
    <w:p w14:paraId="54DDAA78" w14:textId="77777777" w:rsidR="00537414" w:rsidRDefault="00537414" w:rsidP="00857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EA2A7" w14:textId="77777777" w:rsidR="00537414" w:rsidRDefault="00537414" w:rsidP="0085795A">
      <w:r>
        <w:separator/>
      </w:r>
    </w:p>
  </w:footnote>
  <w:footnote w:type="continuationSeparator" w:id="0">
    <w:p w14:paraId="735E3E61" w14:textId="77777777" w:rsidR="00537414" w:rsidRDefault="00537414" w:rsidP="008579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5A"/>
    <w:rsid w:val="00537414"/>
    <w:rsid w:val="007931EE"/>
    <w:rsid w:val="0085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37F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79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79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79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79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