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36"/>
        </w:rPr>
        <w:t>数据安全管理制度</w:t>
      </w:r>
    </w:p>
    <w:p>
      <w:pPr>
        <w:jc w:val="center"/>
      </w:pPr>
      <w:r>
        <w:t xml:space="preserve">文件编号：YT-AI-006  </w:t>
        <w:br/>
        <w:t xml:space="preserve">版本：V1.0 修订  </w:t>
        <w:br/>
        <w:t xml:space="preserve">生效日期：2025年5月1日  </w:t>
        <w:br/>
        <w:t xml:space="preserve">制定单位：杭州柚汀科技有限公司算法安全管理办公室  </w:t>
      </w:r>
    </w:p>
    <w:p/>
    <w:p>
      <w:pPr/>
      <w:r>
        <w:t>---</w:t>
      </w:r>
    </w:p>
    <w:p>
      <w:pPr>
        <w:pStyle w:val="Heading2"/>
      </w:pPr>
      <w:r>
        <w:t>第一章 总则</w:t>
      </w:r>
    </w:p>
    <w:p>
      <w:r/>
      <w:r>
        <w:rPr>
          <w:b/>
        </w:rPr>
        <w:t>第一条 制定目的</w:t>
      </w:r>
      <w:r/>
    </w:p>
    <w:p>
      <w:pPr/>
      <w:r>
        <w:t>为加强本公司数据安全管理，保障AI面试系统运行中涉及的数据的机密性、完整性和可用性，根据《数据安全法》《个人信息保护法》等法律法规，结合本公司实际情况，制定本制度。</w:t>
      </w:r>
    </w:p>
    <w:p>
      <w:r/>
      <w:r>
        <w:rPr>
          <w:b/>
        </w:rPr>
        <w:t>第二条 适用范围</w:t>
      </w:r>
      <w:r/>
    </w:p>
    <w:p>
      <w:pPr/>
      <w:r>
        <w:t>本制度适用于本公司AI面试系统及相关业务中涉及的各类数据的采集、存储、使用、传输、共享、销毁等全生命周期安全管理。</w:t>
      </w:r>
    </w:p>
    <w:p>
      <w:r/>
      <w:r>
        <w:rPr>
          <w:b/>
        </w:rPr>
        <w:t>第三条 术语定义</w:t>
      </w:r>
      <w:r/>
    </w:p>
    <w:p>
      <w:r>
        <w:t xml:space="preserve">- </w:t>
      </w:r>
      <w:r>
        <w:rPr>
          <w:b/>
        </w:rPr>
        <w:t>数据</w:t>
      </w:r>
      <w:r>
        <w:t>：在AI面试系统运行中产生、收集、处理的各类信息，包括结构化数据和非结构化数据；</w:t>
      </w:r>
    </w:p>
    <w:p>
      <w:r>
        <w:t xml:space="preserve">- </w:t>
      </w:r>
      <w:r>
        <w:rPr>
          <w:b/>
        </w:rPr>
        <w:t>个人信息</w:t>
      </w:r>
      <w:r>
        <w:t>：以电子或者其他方式记录的与已识别或者可识别的自然人有关的各种信息；</w:t>
      </w:r>
    </w:p>
    <w:p>
      <w:r>
        <w:t xml:space="preserve">- </w:t>
      </w:r>
      <w:r>
        <w:rPr>
          <w:b/>
        </w:rPr>
        <w:t>敏感个人信息</w:t>
      </w:r>
      <w:r>
        <w:t>：泄露或者非法使用，容易导致自然人人格尊严受到侵害或者人身、财产安全受到危害的个人信息；</w:t>
      </w:r>
    </w:p>
    <w:p>
      <w:r>
        <w:t xml:space="preserve">- </w:t>
      </w:r>
      <w:r>
        <w:rPr>
          <w:b/>
        </w:rPr>
        <w:t>重要数据</w:t>
      </w:r>
      <w:r>
        <w:t>：一旦遭到篡改、破坏、泄露或者非法获取、转移，可能危害国家安全、经济运行、社会稳定、公共健康和安全的数据。</w:t>
      </w:r>
    </w:p>
    <w:p>
      <w:r/>
      <w:r>
        <w:rPr>
          <w:b/>
        </w:rPr>
        <w:t>第四条 基本原则</w:t>
      </w:r>
      <w:r/>
    </w:p>
    <w:p>
      <w:r>
        <w:t xml:space="preserve">1. </w:t>
      </w:r>
      <w:r>
        <w:rPr>
          <w:b/>
        </w:rPr>
        <w:t>合法正当</w:t>
      </w:r>
      <w:r>
        <w:t>：数据处理须合法、正当，尊重当事人权利；</w:t>
      </w:r>
    </w:p>
    <w:p>
      <w:r>
        <w:t xml:space="preserve">2. </w:t>
      </w:r>
      <w:r>
        <w:rPr>
          <w:b/>
        </w:rPr>
        <w:t>最小必要</w:t>
      </w:r>
      <w:r>
        <w:t>：数据收集和使用须限于最小必要范围；</w:t>
      </w:r>
    </w:p>
    <w:p>
      <w:r>
        <w:t xml:space="preserve">3. </w:t>
      </w:r>
      <w:r>
        <w:rPr>
          <w:b/>
        </w:rPr>
        <w:t>全程可控</w:t>
      </w:r>
      <w:r>
        <w:t>：数据全生命周期须处于有效管理和控制中；</w:t>
      </w:r>
    </w:p>
    <w:p>
      <w:r>
        <w:t xml:space="preserve">4. </w:t>
      </w:r>
      <w:r>
        <w:rPr>
          <w:b/>
        </w:rPr>
        <w:t>安全优先</w:t>
      </w:r>
      <w:r>
        <w:t>：数据安全是数据处理的前提和基础。</w:t>
      </w:r>
    </w:p>
    <w:p>
      <w:pPr/>
      <w:r>
        <w:t>---</w:t>
      </w:r>
    </w:p>
    <w:p>
      <w:pPr>
        <w:pStyle w:val="Heading2"/>
      </w:pPr>
      <w:r>
        <w:t>第二章 数据分类分级</w:t>
      </w:r>
    </w:p>
    <w:p>
      <w:r/>
      <w:r>
        <w:rPr>
          <w:b/>
        </w:rPr>
        <w:t>第五条 数据分类</w:t>
      </w:r>
      <w:r/>
    </w:p>
    <w:p>
      <w:pPr/>
      <w:r>
        <w:t>本公司数据按业务类型分为以下类别：</w:t>
      </w:r>
    </w:p>
    <w:p>
      <w:r>
        <w:t xml:space="preserve">1. </w:t>
      </w:r>
      <w:r>
        <w:rPr>
          <w:b/>
        </w:rPr>
        <w:t>用户数据</w:t>
      </w:r>
      <w:r>
        <w:t>：用户在AI面试系统中注册、登录、使用产生的数据；</w:t>
      </w:r>
    </w:p>
    <w:p>
      <w:r>
        <w:t xml:space="preserve">2. </w:t>
      </w:r>
      <w:r>
        <w:rPr>
          <w:b/>
        </w:rPr>
        <w:t>面试数据</w:t>
      </w:r>
      <w:r>
        <w:t>：面试视频、音频、文本回答等面试过程数据；</w:t>
      </w:r>
    </w:p>
    <w:p>
      <w:r>
        <w:t xml:space="preserve">3. </w:t>
      </w:r>
      <w:r>
        <w:rPr>
          <w:b/>
        </w:rPr>
        <w:t>算法数据</w:t>
      </w:r>
      <w:r>
        <w:t>：算法训练数据、模型参数、算法日志等；</w:t>
      </w:r>
    </w:p>
    <w:p>
      <w:r>
        <w:t xml:space="preserve">4. </w:t>
      </w:r>
      <w:r>
        <w:rPr>
          <w:b/>
        </w:rPr>
        <w:t>运营数据</w:t>
      </w:r>
      <w:r>
        <w:t>：系统运营、统计分析、管理决策使用的数据；</w:t>
      </w:r>
    </w:p>
    <w:p>
      <w:r>
        <w:t xml:space="preserve">5. </w:t>
      </w:r>
      <w:r>
        <w:rPr>
          <w:b/>
        </w:rPr>
        <w:t>系统数据</w:t>
      </w:r>
      <w:r>
        <w:t>：系统配置、日志、凭证等系统运行数据。</w:t>
      </w:r>
    </w:p>
    <w:p>
      <w:r/>
      <w:r>
        <w:rPr>
          <w:b/>
        </w:rPr>
        <w:t>第六条 数据分级</w:t>
      </w:r>
      <w:r/>
    </w:p>
    <w:p>
      <w:pPr/>
      <w:r>
        <w:t>根据数据敏感程度分为四个等级：</w:t>
      </w:r>
    </w:p>
    <w:tbl>
      <w:tblPr>
        <w:tblStyle w:val="TableGrid"/>
        <w:tblW w:type="auto" w:w="0"/>
        <w:tblLook w:firstColumn="1" w:firstRow="1" w:lastColumn="0" w:lastRow="0" w:noHBand="0" w:noVBand="1" w:val="04A0"/>
      </w:tblPr>
      <w:tblGrid>
        <w:gridCol w:w="2880"/>
        <w:gridCol w:w="2880"/>
        <w:gridCol w:w="2880"/>
      </w:tblGrid>
      <w:tr>
        <w:tc>
          <w:tcPr>
            <w:tcW w:type="dxa" w:w="2880"/>
          </w:tcPr>
          <w:p>
            <w:r>
              <w:t>级别</w:t>
            </w:r>
          </w:p>
        </w:tc>
        <w:tc>
          <w:tcPr>
            <w:tcW w:type="dxa" w:w="2880"/>
          </w:tcPr>
          <w:p>
            <w:r>
              <w:t>定义</w:t>
            </w:r>
          </w:p>
        </w:tc>
        <w:tc>
          <w:tcPr>
            <w:tcW w:type="dxa" w:w="2880"/>
          </w:tcPr>
          <w:p>
            <w:r>
              <w:t>示例数据</w:t>
            </w:r>
          </w:p>
        </w:tc>
      </w:tr>
    </w:tbl>
    <w:p/>
    <w:p>
      <w:pPr/>
      <w:r>
        <w:t>|-----|------|---------|</w:t>
      </w:r>
    </w:p>
    <w:tbl>
      <w:tblPr>
        <w:tblStyle w:val="TableGrid"/>
        <w:tblW w:type="auto" w:w="0"/>
        <w:tblLook w:firstColumn="1" w:firstRow="1" w:lastColumn="0" w:lastRow="0" w:noHBand="0" w:noVBand="1" w:val="04A0"/>
      </w:tblPr>
      <w:tblGrid>
        <w:gridCol w:w="2880"/>
        <w:gridCol w:w="2880"/>
        <w:gridCol w:w="2880"/>
      </w:tblGrid>
      <w:tr>
        <w:tc>
          <w:tcPr>
            <w:tcW w:type="dxa" w:w="2880"/>
          </w:tcPr>
          <w:p>
            <w:r>
              <w:t>**第一级（一般数据）**</w:t>
            </w:r>
          </w:p>
        </w:tc>
        <w:tc>
          <w:tcPr>
            <w:tcW w:type="dxa" w:w="2880"/>
          </w:tcPr>
          <w:p>
            <w:r>
              <w:t>公开或非敏感数据</w:t>
            </w:r>
          </w:p>
        </w:tc>
        <w:tc>
          <w:tcPr>
            <w:tcW w:type="dxa" w:w="2880"/>
          </w:tcPr>
          <w:p>
            <w:r>
              <w:t>系统公开文档、非个人信息统计数据</w:t>
            </w:r>
          </w:p>
        </w:tc>
      </w:tr>
      <w:tr>
        <w:tc>
          <w:tcPr>
            <w:tcW w:type="dxa" w:w="2880"/>
          </w:tcPr>
          <w:p>
            <w:r>
              <w:t>**第二级（敏感数据）**</w:t>
            </w:r>
          </w:p>
        </w:tc>
        <w:tc>
          <w:tcPr>
            <w:tcW w:type="dxa" w:w="2880"/>
          </w:tcPr>
          <w:p>
            <w:r>
              <w:t>需保护的数据，泄露可能造成不便</w:t>
            </w:r>
          </w:p>
        </w:tc>
        <w:tc>
          <w:tcPr>
            <w:tcW w:type="dxa" w:w="2880"/>
          </w:tcPr>
          <w:p>
            <w:r>
              <w:t>用户昵称、公开的面试评价</w:t>
            </w:r>
          </w:p>
        </w:tc>
      </w:tr>
      <w:tr>
        <w:tc>
          <w:tcPr>
            <w:tcW w:type="dxa" w:w="2880"/>
          </w:tcPr>
          <w:p>
            <w:r>
              <w:t>**第三级（重要数据）**</w:t>
            </w:r>
          </w:p>
        </w:tc>
        <w:tc>
          <w:tcPr>
            <w:tcW w:type="dxa" w:w="2880"/>
          </w:tcPr>
          <w:p>
            <w:r>
              <w:t>重要数据，泄露可能造成较大影响</w:t>
            </w:r>
          </w:p>
        </w:tc>
        <w:tc>
          <w:tcPr>
            <w:tcW w:type="dxa" w:w="2880"/>
          </w:tcPr>
          <w:p>
            <w:r>
              <w:t>用户个人信息、面试视频、手机号</w:t>
            </w:r>
          </w:p>
        </w:tc>
      </w:tr>
      <w:tr>
        <w:tc>
          <w:tcPr>
            <w:tcW w:type="dxa" w:w="2880"/>
          </w:tcPr>
          <w:p>
            <w:r>
              <w:t>**第四级（核心数据）**</w:t>
            </w:r>
          </w:p>
        </w:tc>
        <w:tc>
          <w:tcPr>
            <w:tcW w:type="dxa" w:w="2880"/>
          </w:tcPr>
          <w:p>
            <w:r>
              <w:t>核心数据，泄露可能造成严重影响</w:t>
            </w:r>
          </w:p>
        </w:tc>
        <w:tc>
          <w:tcPr>
            <w:tcW w:type="dxa" w:w="2880"/>
          </w:tcPr>
          <w:p>
            <w:r>
              <w:t>身份证号、银行账号、认证密钥</w:t>
            </w:r>
          </w:p>
        </w:tc>
      </w:tr>
    </w:tbl>
    <w:p/>
    <w:p>
      <w:r/>
      <w:r>
        <w:rPr>
          <w:b/>
        </w:rPr>
        <w:t>第七条 标注和管理要求</w:t>
      </w:r>
      <w:r/>
    </w:p>
    <w:p>
      <w:pPr/>
      <w:r>
        <w:t>1. 数据须明确标注分类分级标识；</w:t>
      </w:r>
    </w:p>
    <w:p>
      <w:pPr/>
      <w:r>
        <w:t>2. 不同级别的数据适用不同的安全措施；</w:t>
      </w:r>
    </w:p>
    <w:p>
      <w:pPr/>
      <w:r>
        <w:t>3. 定期评估和调整数据分类分级结果。</w:t>
      </w:r>
    </w:p>
    <w:p>
      <w:pPr/>
      <w:r>
        <w:t>---</w:t>
      </w:r>
    </w:p>
    <w:p>
      <w:pPr>
        <w:pStyle w:val="Heading2"/>
      </w:pPr>
      <w:r>
        <w:t>第三章 数据采集管理</w:t>
      </w:r>
    </w:p>
    <w:p>
      <w:r/>
      <w:r>
        <w:rPr>
          <w:b/>
        </w:rPr>
        <w:t>第八条 数据采集原则</w:t>
      </w:r>
      <w:r/>
    </w:p>
    <w:p>
      <w:pPr/>
      <w:r>
        <w:t>1. 采集数据须具有合法目的，限于实现处理目的的最小范围；</w:t>
      </w:r>
    </w:p>
    <w:p>
      <w:pPr/>
      <w:r>
        <w:t>2. 采集敏感数据须获得数据主体的明示同意；</w:t>
      </w:r>
    </w:p>
    <w:p>
      <w:pPr/>
      <w:r>
        <w:t>3. 采集前须向数据主体告知采集目的、方式、范围、存储期限等；</w:t>
      </w:r>
    </w:p>
    <w:p>
      <w:pPr/>
      <w:r>
        <w:t>4. 采集方式须合法，不得欺骗、胁迫、诱骗。</w:t>
      </w:r>
    </w:p>
    <w:p>
      <w:r/>
      <w:r>
        <w:rPr>
          <w:b/>
        </w:rPr>
        <w:t>第九条 采集审批</w:t>
      </w:r>
      <w:r/>
    </w:p>
    <w:p>
      <w:pPr/>
      <w:r>
        <w:t>1. 新增数据采集须向数据安全负责人提交申请；</w:t>
      </w:r>
    </w:p>
    <w:p>
      <w:pPr/>
      <w:r>
        <w:t>2. 申请须说明采集目的、范围、存储方案、保护措施；</w:t>
      </w:r>
    </w:p>
    <w:p>
      <w:pPr/>
      <w:r>
        <w:t>3. 涉及敏感个人信息的采集须经法务合规部审核。</w:t>
      </w:r>
    </w:p>
    <w:p>
      <w:r/>
      <w:r>
        <w:rPr>
          <w:b/>
        </w:rPr>
        <w:t>第十条 采集记录</w:t>
      </w:r>
      <w:r/>
    </w:p>
    <w:p>
      <w:pPr/>
      <w:r>
        <w:t>1. 须记录数据采集的时间、目的、方式、范围；</w:t>
      </w:r>
    </w:p>
    <w:p>
      <w:pPr/>
      <w:r>
        <w:t>2. 须记录数据采集的授权同意情况；</w:t>
      </w:r>
    </w:p>
    <w:p>
      <w:pPr/>
      <w:r>
        <w:t>3. 采集记录保存不少于3年。</w:t>
      </w:r>
    </w:p>
    <w:p>
      <w:pPr/>
      <w:r>
        <w:t>---</w:t>
      </w:r>
    </w:p>
    <w:p>
      <w:pPr>
        <w:pStyle w:val="Heading2"/>
      </w:pPr>
      <w:r>
        <w:t>第四章 数据存储管理</w:t>
      </w:r>
    </w:p>
    <w:p>
      <w:r/>
      <w:r>
        <w:rPr>
          <w:b/>
        </w:rPr>
        <w:t>第十一条 存储安全要求</w:t>
      </w:r>
      <w:r/>
    </w:p>
    <w:p>
      <w:pPr/>
      <w:r>
        <w:t>1. 须评估数据存储安全性，采取相应的技术措施；</w:t>
      </w:r>
    </w:p>
    <w:p>
      <w:pPr/>
      <w:r>
        <w:t>2. 敏感数据须加密存储；</w:t>
      </w:r>
    </w:p>
    <w:p>
      <w:pPr/>
      <w:r>
        <w:t>3. 存储系统和介质须进行安全配置；</w:t>
      </w:r>
    </w:p>
    <w:p>
      <w:pPr/>
      <w:r>
        <w:t>4. 须建立数据备份机制，定期进行数据备份。</w:t>
      </w:r>
    </w:p>
    <w:p>
      <w:r/>
      <w:r>
        <w:rPr>
          <w:b/>
        </w:rPr>
        <w:t>第十二条 存储加密</w:t>
      </w:r>
      <w:r/>
    </w:p>
    <w:p>
      <w:pPr/>
      <w:r>
        <w:t>1. 核心数据存储须采用AES-256或同等强度加密；</w:t>
      </w:r>
    </w:p>
    <w:p>
      <w:pPr/>
      <w:r>
        <w:t>2. 敏感个人信息须加密存储；</w:t>
      </w:r>
    </w:p>
    <w:p>
      <w:pPr/>
      <w:r>
        <w:t>3. 加密密钥须安全管理，由专人负责。</w:t>
      </w:r>
    </w:p>
    <w:p>
      <w:r/>
      <w:r>
        <w:rPr>
          <w:b/>
        </w:rPr>
        <w:t>第十三条 存储访问控制</w:t>
      </w:r>
      <w:r/>
    </w:p>
    <w:p>
      <w:pPr/>
      <w:r>
        <w:t>1. 须建立数据访问权限控制制度；</w:t>
      </w:r>
    </w:p>
    <w:p>
      <w:pPr/>
      <w:r>
        <w:t>2. 数据访问须遵循最小授权原则；</w:t>
      </w:r>
    </w:p>
    <w:p>
      <w:pPr/>
      <w:r>
        <w:t>3. 须建立数据访问日志，记录访问行为；</w:t>
      </w:r>
    </w:p>
    <w:p>
      <w:pPr/>
      <w:r>
        <w:t>4. 定期审查数据访问权限，及时清理无效权限。</w:t>
      </w:r>
    </w:p>
    <w:p>
      <w:r/>
      <w:r>
        <w:rPr>
          <w:b/>
        </w:rPr>
        <w:t>第十四条 存储时限</w:t>
      </w:r>
      <w:r/>
    </w:p>
    <w:p>
      <w:pPr/>
      <w:r>
        <w:t>1. 数据存储期限须符合法律法规和业务需要；</w:t>
      </w:r>
    </w:p>
    <w:p>
      <w:pPr/>
      <w:r>
        <w:t>2. 超过存储期限的数据须及时销毁；</w:t>
      </w:r>
    </w:p>
    <w:p>
      <w:pPr/>
      <w:r>
        <w:t>3. 用户面试视频保存期限不超过30天；</w:t>
      </w:r>
    </w:p>
    <w:p>
      <w:pPr/>
      <w:r>
        <w:t>4. 数据销毁须有记录可查。</w:t>
      </w:r>
    </w:p>
    <w:p>
      <w:pPr/>
      <w:r>
        <w:t>---</w:t>
      </w:r>
    </w:p>
    <w:p>
      <w:pPr>
        <w:pStyle w:val="Heading2"/>
      </w:pPr>
      <w:r>
        <w:t>第五章 数据使用管理</w:t>
      </w:r>
    </w:p>
    <w:p>
      <w:r/>
      <w:r>
        <w:rPr>
          <w:b/>
        </w:rPr>
        <w:t>第十五条 使用授权</w:t>
      </w:r>
      <w:r/>
    </w:p>
    <w:p>
      <w:pPr/>
      <w:r>
        <w:t>1. 数据使用须在授权范围内进行；</w:t>
      </w:r>
    </w:p>
    <w:p>
      <w:pPr/>
      <w:r>
        <w:t>2. 须建立数据使用审批流程；</w:t>
      </w:r>
    </w:p>
    <w:p>
      <w:pPr/>
      <w:r>
        <w:t>3. 批量数据使用须经数据安全负责人审批。</w:t>
      </w:r>
    </w:p>
    <w:p>
      <w:r/>
      <w:r>
        <w:rPr>
          <w:b/>
        </w:rPr>
        <w:t>第十六条 数据脱敏</w:t>
      </w:r>
      <w:r/>
    </w:p>
    <w:p>
      <w:pPr/>
      <w:r>
        <w:t>1. 用于测试、培训等场景的数据须进行脱敏处理；</w:t>
      </w:r>
    </w:p>
    <w:p>
      <w:pPr/>
      <w:r>
        <w:t>2. 脱敏须保证数据的真实性可用性；</w:t>
      </w:r>
    </w:p>
    <w:p>
      <w:pPr/>
      <w:r>
        <w:t>3. 脱敏规则须经数据安全负责人审核。</w:t>
      </w:r>
    </w:p>
    <w:p>
      <w:r/>
      <w:r>
        <w:rPr>
          <w:b/>
        </w:rPr>
        <w:t>第十七条 数据分析管理</w:t>
      </w:r>
      <w:r/>
    </w:p>
    <w:p>
      <w:pPr/>
      <w:r>
        <w:t>1. 数据分析须在授权范围内进行；</w:t>
      </w:r>
    </w:p>
    <w:p>
      <w:pPr/>
      <w:r>
        <w:t>2. 分析结果的使用须符合原始授权目的；</w:t>
      </w:r>
    </w:p>
    <w:p>
      <w:pPr/>
      <w:r>
        <w:t>3. 分析过程须有记录可追溯。</w:t>
      </w:r>
    </w:p>
    <w:p>
      <w:pPr/>
      <w:r>
        <w:t>---</w:t>
      </w:r>
    </w:p>
    <w:p>
      <w:pPr>
        <w:pStyle w:val="Heading2"/>
      </w:pPr>
      <w:r>
        <w:t>第六章 数据传输管理</w:t>
      </w:r>
    </w:p>
    <w:p>
      <w:r/>
      <w:r>
        <w:rPr>
          <w:b/>
        </w:rPr>
        <w:t>第十八条 传输加密</w:t>
      </w:r>
      <w:r/>
    </w:p>
    <w:p>
      <w:pPr/>
      <w:r>
        <w:t>1. 数据传输须采用HTTPS加密；</w:t>
      </w:r>
    </w:p>
    <w:p>
      <w:pPr/>
      <w:r>
        <w:t>2. 敏感数据传输须采用VPN或专用线路；</w:t>
      </w:r>
    </w:p>
    <w:p>
      <w:pPr/>
      <w:r>
        <w:t>3. 须验证数据传输对方的身份和资质。</w:t>
      </w:r>
    </w:p>
    <w:p>
      <w:r/>
      <w:r>
        <w:rPr>
          <w:b/>
        </w:rPr>
        <w:t>第十九条 接口安全</w:t>
      </w:r>
      <w:r/>
    </w:p>
    <w:p>
      <w:pPr/>
      <w:r>
        <w:t>1. 数据传输接口须进行安全设计；</w:t>
      </w:r>
    </w:p>
    <w:p>
      <w:pPr/>
      <w:r>
        <w:t>2. 接口须进行身份认证和访问控制；</w:t>
      </w:r>
    </w:p>
    <w:p>
      <w:pPr/>
      <w:r>
        <w:t>3. 须记录接口调用日志。</w:t>
      </w:r>
    </w:p>
    <w:p>
      <w:r/>
      <w:r>
        <w:rPr>
          <w:b/>
        </w:rPr>
        <w:t>第二十条 数据转移</w:t>
      </w:r>
      <w:r/>
    </w:p>
    <w:p>
      <w:pPr/>
      <w:r>
        <w:t>1. 向第三方转移数据须签订数据保护协议；</w:t>
      </w:r>
    </w:p>
    <w:p>
      <w:pPr/>
      <w:r>
        <w:t>2. 须确认转移的合法性，保留相关凭证；</w:t>
      </w:r>
    </w:p>
    <w:p>
      <w:pPr/>
      <w:r>
        <w:t>3. 须告知数据主体并获得其同意。</w:t>
      </w:r>
    </w:p>
    <w:p>
      <w:pPr/>
      <w:r>
        <w:t>---</w:t>
      </w:r>
    </w:p>
    <w:p>
      <w:pPr>
        <w:pStyle w:val="Heading2"/>
      </w:pPr>
      <w:r>
        <w:t>第七章 数据共享管理</w:t>
      </w:r>
    </w:p>
    <w:p>
      <w:r/>
      <w:r>
        <w:rPr>
          <w:b/>
        </w:rPr>
        <w:t>第二十一条 共享原则</w:t>
      </w:r>
      <w:r/>
    </w:p>
    <w:p>
      <w:pPr/>
      <w:r>
        <w:t>1. 数据共享须具有合法目的；</w:t>
      </w:r>
    </w:p>
    <w:p>
      <w:pPr/>
      <w:r>
        <w:t>2. 共享数据须进行必要的脱敏处理；</w:t>
      </w:r>
    </w:p>
    <w:p>
      <w:pPr/>
      <w:r>
        <w:t>3. 共享范围须限于最小必要。</w:t>
      </w:r>
    </w:p>
    <w:p>
      <w:r/>
      <w:r>
        <w:rPr>
          <w:b/>
        </w:rPr>
        <w:t>第二十二条 共享审批</w:t>
      </w:r>
      <w:r/>
    </w:p>
    <w:p>
      <w:pPr/>
      <w:r>
        <w:t>1. 数据共享须经数据安全负责人审批；</w:t>
      </w:r>
    </w:p>
    <w:p>
      <w:pPr/>
      <w:r>
        <w:t>2. 涉及个人信息的共享须经法务合规部审核；</w:t>
      </w:r>
    </w:p>
    <w:p>
      <w:pPr/>
      <w:r>
        <w:t>3. 重大数据共享须报公司管理层批准。</w:t>
      </w:r>
    </w:p>
    <w:p>
      <w:r/>
      <w:r>
        <w:rPr>
          <w:b/>
        </w:rPr>
        <w:t>第二十三条 共享协议</w:t>
      </w:r>
      <w:r/>
    </w:p>
    <w:p>
      <w:pPr/>
      <w:r>
        <w:t>1. 数据共享须签订数据共享协议；</w:t>
      </w:r>
    </w:p>
    <w:p>
      <w:pPr/>
      <w:r>
        <w:t>2. 协议须明确双方的数据安全责任；</w:t>
      </w:r>
    </w:p>
    <w:p>
      <w:pPr/>
      <w:r>
        <w:t>3. 协议须约定数据使用范围、保密义务、违约责任等。</w:t>
      </w:r>
    </w:p>
    <w:p>
      <w:pPr/>
      <w:r>
        <w:t>---</w:t>
      </w:r>
    </w:p>
    <w:p>
      <w:pPr>
        <w:pStyle w:val="Heading2"/>
      </w:pPr>
      <w:r>
        <w:t>第八章 数据销毁管理</w:t>
      </w:r>
    </w:p>
    <w:p>
      <w:r/>
      <w:r>
        <w:rPr>
          <w:b/>
        </w:rPr>
        <w:t>第二十四条 销毁条件</w:t>
      </w:r>
      <w:r/>
    </w:p>
    <w:p>
      <w:pPr/>
      <w:r>
        <w:t>1. 存储期限届满；</w:t>
      </w:r>
    </w:p>
    <w:p>
      <w:pPr/>
      <w:r>
        <w:t>2. 数据处理目的已实现、无法实现或不再需要；</w:t>
      </w:r>
    </w:p>
    <w:p>
      <w:pPr/>
      <w:r>
        <w:t>3. 数据主体撤回同意；</w:t>
      </w:r>
    </w:p>
    <w:p>
      <w:pPr/>
      <w:r>
        <w:t>4. 数据处理者停止运营；</w:t>
      </w:r>
    </w:p>
    <w:p>
      <w:pPr/>
      <w:r>
        <w:t>5. 法律法规规定的其他情形。</w:t>
      </w:r>
    </w:p>
    <w:p>
      <w:r/>
      <w:r>
        <w:rPr>
          <w:b/>
        </w:rPr>
        <w:t>第二十五条 销毁方式</w:t>
      </w:r>
      <w:r/>
    </w:p>
    <w:p>
      <w:pPr/>
      <w:r>
        <w:t>1. 数据销毁须采用安全的方式，确保数据不可恢复；</w:t>
      </w:r>
    </w:p>
    <w:p>
      <w:pPr/>
      <w:r>
        <w:t>2. 纸质数据须粉碎处理；</w:t>
      </w:r>
    </w:p>
    <w:p>
      <w:pPr/>
      <w:r>
        <w:t>3. 电子数据须彻底删除，必要时就地销毁存储介质。</w:t>
      </w:r>
    </w:p>
    <w:p>
      <w:r/>
      <w:r>
        <w:rPr>
          <w:b/>
        </w:rPr>
        <w:t>第二十六条 销毁记录</w:t>
      </w:r>
      <w:r/>
    </w:p>
    <w:p>
      <w:pPr/>
      <w:r>
        <w:t>1. 须记录数据销毁的时间、方式、数量；</w:t>
      </w:r>
    </w:p>
    <w:p>
      <w:pPr/>
      <w:r>
        <w:t>2. 销毁记录保存不少于3年；</w:t>
      </w:r>
    </w:p>
    <w:p>
      <w:pPr/>
      <w:r>
        <w:t>3. 涉及重要数据的销毁须由两人以上监督完成。</w:t>
      </w:r>
    </w:p>
    <w:p>
      <w:pPr/>
      <w:r>
        <w:t>---</w:t>
      </w:r>
    </w:p>
    <w:p>
      <w:pPr>
        <w:pStyle w:val="Heading2"/>
      </w:pPr>
      <w:r>
        <w:t>第九章 数据安全事件处置</w:t>
      </w:r>
    </w:p>
    <w:p>
      <w:r/>
      <w:r>
        <w:rPr>
          <w:b/>
        </w:rPr>
        <w:t>第二十七条 事件报告</w:t>
      </w:r>
      <w:r/>
    </w:p>
    <w:p>
      <w:pPr/>
      <w:r>
        <w:t>1. 发现数据安全事件须立即向数据安全负责人报告；</w:t>
      </w:r>
    </w:p>
    <w:p>
      <w:pPr/>
      <w:r>
        <w:t>2. 重大数据安全事件须在24小时内向相关主管部门报告；</w:t>
      </w:r>
    </w:p>
    <w:p>
      <w:pPr/>
      <w:r>
        <w:t>3. 事件报告须包括事件时间、类型、影响范围、已采取措施等。</w:t>
      </w:r>
    </w:p>
    <w:p>
      <w:r/>
      <w:r>
        <w:rPr>
          <w:b/>
        </w:rPr>
        <w:t>第二十八条 事件处置</w:t>
      </w:r>
      <w:r/>
    </w:p>
    <w:p>
      <w:pPr/>
      <w:r>
        <w:t>1. 立即采取控制措施，防止事件扩大；</w:t>
      </w:r>
    </w:p>
    <w:p>
      <w:pPr/>
      <w:r>
        <w:t>2. 评估事件影响，确定事件等级；</w:t>
      </w:r>
    </w:p>
    <w:p>
      <w:pPr/>
      <w:r>
        <w:t>3. 制定处置方案，组织实施；</w:t>
      </w:r>
    </w:p>
    <w:p>
      <w:pPr/>
      <w:r>
        <w:t>4. 通知受影响的数据主体；</w:t>
      </w:r>
    </w:p>
    <w:p>
      <w:pPr/>
      <w:r>
        <w:t>5. 开展事件调查，整改完善。</w:t>
      </w:r>
    </w:p>
    <w:p>
      <w:pPr/>
      <w:r>
        <w:t>---</w:t>
      </w:r>
    </w:p>
    <w:p>
      <w:pPr>
        <w:pStyle w:val="Heading2"/>
      </w:pPr>
      <w:r>
        <w:t>第十章 附则</w:t>
      </w:r>
    </w:p>
    <w:p>
      <w:r/>
      <w:r>
        <w:rPr>
          <w:b/>
        </w:rPr>
        <w:t>第二十九条 解释权</w:t>
      </w:r>
      <w:r/>
    </w:p>
    <w:p>
      <w:pPr/>
      <w:r>
        <w:t>本制度由算法安全管理办公室负责解释。</w:t>
      </w:r>
    </w:p>
    <w:p>
      <w:r/>
      <w:r>
        <w:rPr>
          <w:b/>
        </w:rPr>
        <w:t>第三十条 生效和修订</w:t>
      </w:r>
      <w:r/>
    </w:p>
    <w:p>
      <w:pPr/>
      <w:r>
        <w:t>1. 本制度自2025年5月1日起生效；</w:t>
      </w:r>
    </w:p>
    <w:p>
      <w:pPr/>
      <w:r>
        <w:t>2. 本制度的修订须经算法安全办审核，报公司管理层批准后生效。</w:t>
      </w:r>
    </w:p>
    <w:p>
      <w:pPr/>
      <w:r>
        <w:t>---</w:t>
      </w:r>
    </w:p>
    <w:p>
      <w:r/>
      <w:r>
        <w:rPr>
          <w:b/>
        </w:rPr>
        <w:t>制定</w:t>
      </w:r>
      <w:r>
        <w:t>：算法安全管理办公室</w:t>
      </w:r>
    </w:p>
    <w:p>
      <w:r/>
      <w:r>
        <w:rPr>
          <w:b/>
        </w:rPr>
        <w:t>审核</w:t>
      </w:r>
      <w:r>
        <w:t>：法务合规部</w:t>
      </w:r>
    </w:p>
    <w:p>
      <w:r/>
      <w:r>
        <w:rPr>
          <w:b/>
        </w:rPr>
        <w:t>批准</w:t>
      </w:r>
      <w:r>
        <w:t>：公司管理层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