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6"/>
        </w:rPr>
        <w:t>AI面试系统数据安全方案</w:t>
      </w:r>
    </w:p>
    <w:p>
      <w:pPr>
        <w:jc w:val="center"/>
      </w:pPr>
      <w:r>
        <w:t xml:space="preserve">文件编号：YT-AI-012  </w:t>
        <w:br/>
        <w:t xml:space="preserve">版本：V1.0 修订  </w:t>
        <w:br/>
        <w:t xml:space="preserve">制定单位：杭州柚汀科技有限公司算法安全管理办公室  </w:t>
      </w:r>
    </w:p>
    <w:p/>
    <w:p>
      <w:pPr/>
      <w:r>
        <w:t>---</w:t>
      </w:r>
    </w:p>
    <w:p>
      <w:pPr>
        <w:pStyle w:val="Heading2"/>
      </w:pPr>
      <w:r>
        <w:t>第一章 系统概述</w:t>
      </w:r>
    </w:p>
    <w:p>
      <w:r/>
      <w:r>
        <w:rPr>
          <w:b/>
        </w:rPr>
        <w:t>第一条 方案目的</w:t>
      </w:r>
      <w:r/>
    </w:p>
    <w:p>
      <w:pPr/>
      <w:r>
        <w:t>本方案旨在规范AI面试系统数据安全管理，保障数据的机密性、完整性和可用性，确保用户个人信息安全和业务数据安全。</w:t>
      </w:r>
    </w:p>
    <w:p>
      <w:r/>
      <w:r>
        <w:rPr>
          <w:b/>
        </w:rPr>
        <w:t>第二条 数据范围</w:t>
      </w:r>
      <w:r/>
    </w:p>
    <w:p>
      <w:pPr/>
      <w:r>
        <w:t>本方案涉及的数据包括：</w:t>
      </w:r>
    </w:p>
    <w:p>
      <w:pPr/>
      <w:r>
        <w:t>1. 用户注册信息：手机号、密码、身份信息；</w:t>
      </w:r>
    </w:p>
    <w:p>
      <w:pPr/>
      <w:r>
        <w:t>2. 简历数据：教育背景、工作经历、技能证书；</w:t>
      </w:r>
    </w:p>
    <w:p>
      <w:pPr/>
      <w:r>
        <w:t>3. 面试数据：视频、音频、文本回答；</w:t>
      </w:r>
    </w:p>
    <w:p>
      <w:pPr/>
      <w:r>
        <w:t>4. 算法数据：训练数据、模型参数、日志；</w:t>
      </w:r>
    </w:p>
    <w:p>
      <w:pPr/>
      <w:r>
        <w:t>5. 运营数据：统计数据、交易记录。</w:t>
      </w:r>
    </w:p>
    <w:p>
      <w:pPr/>
      <w:r>
        <w:t>---</w:t>
      </w:r>
    </w:p>
    <w:p>
      <w:pPr>
        <w:pStyle w:val="Heading2"/>
      </w:pPr>
      <w:r>
        <w:t>第二章 数据分类分级</w:t>
      </w:r>
    </w:p>
    <w:p>
      <w:r/>
      <w:r>
        <w:rPr>
          <w:b/>
        </w:rPr>
        <w:t>第三条 数据分类</w:t>
      </w:r>
      <w:r/>
    </w:p>
    <w:p>
      <w:pPr/>
      <w:r>
        <w:t>按业务类型分为五类：</w:t>
      </w:r>
    </w:p>
    <w:p>
      <w:r>
        <w:t xml:space="preserve">1. </w:t>
      </w:r>
      <w:r>
        <w:rPr>
          <w:b/>
        </w:rPr>
        <w:t>用户数据</w:t>
      </w:r>
      <w:r>
        <w:t>：用户基本信息、认证信息；</w:t>
      </w:r>
    </w:p>
    <w:p>
      <w:r>
        <w:t xml:space="preserve">2. </w:t>
      </w:r>
      <w:r>
        <w:rPr>
          <w:b/>
        </w:rPr>
        <w:t>简历数据</w:t>
      </w:r>
      <w:r>
        <w:t>：用户填写的简历内容；</w:t>
      </w:r>
    </w:p>
    <w:p>
      <w:r>
        <w:t xml:space="preserve">3. </w:t>
      </w:r>
      <w:r>
        <w:rPr>
          <w:b/>
        </w:rPr>
        <w:t>面试数据</w:t>
      </w:r>
      <w:r>
        <w:t>：面试过程产生的视频、音频、评价；</w:t>
      </w:r>
    </w:p>
    <w:p>
      <w:r>
        <w:t xml:space="preserve">4. </w:t>
      </w:r>
      <w:r>
        <w:rPr>
          <w:b/>
        </w:rPr>
        <w:t>算法数据</w:t>
      </w:r>
      <w:r>
        <w:t>：训练数据、模型、日志；</w:t>
      </w:r>
    </w:p>
    <w:p>
      <w:r>
        <w:t xml:space="preserve">5. </w:t>
      </w:r>
      <w:r>
        <w:rPr>
          <w:b/>
        </w:rPr>
        <w:t>运营数据</w:t>
      </w:r>
      <w:r>
        <w:t>：系统运营、分析、管理数据。</w:t>
      </w:r>
    </w:p>
    <w:p>
      <w:r/>
      <w:r>
        <w:rPr>
          <w:b/>
        </w:rPr>
        <w:t>第四条 数据分级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级别</w:t>
            </w:r>
          </w:p>
        </w:tc>
        <w:tc>
          <w:tcPr>
            <w:tcW w:type="dxa" w:w="2160"/>
          </w:tcPr>
          <w:p>
            <w:r>
              <w:t>定义</w:t>
            </w:r>
          </w:p>
        </w:tc>
        <w:tc>
          <w:tcPr>
            <w:tcW w:type="dxa" w:w="2160"/>
          </w:tcPr>
          <w:p>
            <w:r>
              <w:t>示例</w:t>
            </w:r>
          </w:p>
        </w:tc>
        <w:tc>
          <w:tcPr>
            <w:tcW w:type="dxa" w:w="2160"/>
          </w:tcPr>
          <w:p>
            <w:r>
              <w:t>安全要求</w:t>
            </w:r>
          </w:p>
        </w:tc>
      </w:tr>
    </w:tbl>
    <w:p/>
    <w:p>
      <w:pPr/>
      <w:r>
        <w:t>|-----|------|------|---------|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**1级**</w:t>
            </w:r>
          </w:p>
        </w:tc>
        <w:tc>
          <w:tcPr>
            <w:tcW w:type="dxa" w:w="2160"/>
          </w:tcPr>
          <w:p>
            <w:r>
              <w:t>一般数据</w:t>
            </w:r>
          </w:p>
        </w:tc>
        <w:tc>
          <w:tcPr>
            <w:tcW w:type="dxa" w:w="2160"/>
          </w:tcPr>
          <w:p>
            <w:r>
              <w:t>公开文档、统计数据</w:t>
            </w:r>
          </w:p>
        </w:tc>
        <w:tc>
          <w:tcPr>
            <w:tcW w:type="dxa" w:w="2160"/>
          </w:tcPr>
          <w:p>
            <w:r>
              <w:t>基本防护</w:t>
            </w:r>
          </w:p>
        </w:tc>
      </w:tr>
      <w:tr>
        <w:tc>
          <w:tcPr>
            <w:tcW w:type="dxa" w:w="2160"/>
          </w:tcPr>
          <w:p>
            <w:r>
              <w:t>**2级**</w:t>
            </w:r>
          </w:p>
        </w:tc>
        <w:tc>
          <w:tcPr>
            <w:tcW w:type="dxa" w:w="2160"/>
          </w:tcPr>
          <w:p>
            <w:r>
              <w:t>敏感数据</w:t>
            </w:r>
          </w:p>
        </w:tc>
        <w:tc>
          <w:tcPr>
            <w:tcW w:type="dxa" w:w="2160"/>
          </w:tcPr>
          <w:p>
            <w:r>
              <w:t>用户昵称、公开评价</w:t>
            </w:r>
          </w:p>
        </w:tc>
        <w:tc>
          <w:tcPr>
            <w:tcW w:type="dxa" w:w="2160"/>
          </w:tcPr>
          <w:p>
            <w:r>
              <w:t>中级防护</w:t>
            </w:r>
          </w:p>
        </w:tc>
      </w:tr>
      <w:tr>
        <w:tc>
          <w:tcPr>
            <w:tcW w:type="dxa" w:w="2160"/>
          </w:tcPr>
          <w:p>
            <w:r>
              <w:t>**3级**</w:t>
            </w:r>
          </w:p>
        </w:tc>
        <w:tc>
          <w:tcPr>
            <w:tcW w:type="dxa" w:w="2160"/>
          </w:tcPr>
          <w:p>
            <w:r>
              <w:t>重要数据</w:t>
            </w:r>
          </w:p>
        </w:tc>
        <w:tc>
          <w:tcPr>
            <w:tcW w:type="dxa" w:w="2160"/>
          </w:tcPr>
          <w:p>
            <w:r>
              <w:t>手机号、邮箱、面试视频</w:t>
            </w:r>
          </w:p>
        </w:tc>
        <w:tc>
          <w:tcPr>
            <w:tcW w:type="dxa" w:w="2160"/>
          </w:tcPr>
          <w:p>
            <w:r>
              <w:t>高级防护</w:t>
            </w:r>
          </w:p>
        </w:tc>
      </w:tr>
      <w:tr>
        <w:tc>
          <w:tcPr>
            <w:tcW w:type="dxa" w:w="2160"/>
          </w:tcPr>
          <w:p>
            <w:r>
              <w:t>**4级**</w:t>
            </w:r>
          </w:p>
        </w:tc>
        <w:tc>
          <w:tcPr>
            <w:tcW w:type="dxa" w:w="2160"/>
          </w:tcPr>
          <w:p>
            <w:r>
              <w:t>核心数据</w:t>
            </w:r>
          </w:p>
        </w:tc>
        <w:tc>
          <w:tcPr>
            <w:tcW w:type="dxa" w:w="2160"/>
          </w:tcPr>
          <w:p>
            <w:r>
              <w:t>身份证号、银行账号、密码</w:t>
            </w:r>
          </w:p>
        </w:tc>
        <w:tc>
          <w:tcPr>
            <w:tcW w:type="dxa" w:w="2160"/>
          </w:tcPr>
          <w:p>
            <w:r>
              <w:t>最严防护</w:t>
            </w:r>
          </w:p>
        </w:tc>
      </w:tr>
    </w:tbl>
    <w:p/>
    <w:p>
      <w:pPr/>
      <w:r>
        <w:t>---</w:t>
      </w:r>
    </w:p>
    <w:p>
      <w:pPr>
        <w:pStyle w:val="Heading2"/>
      </w:pPr>
      <w:r>
        <w:t>第三章 数据采集安全</w:t>
      </w:r>
    </w:p>
    <w:p>
      <w:r/>
      <w:r>
        <w:rPr>
          <w:b/>
        </w:rPr>
        <w:t>第五条 采集原则</w:t>
      </w:r>
      <w:r/>
    </w:p>
    <w:p>
      <w:pPr/>
      <w:r>
        <w:t>1. 采集须具有明确、合法的目的；</w:t>
      </w:r>
    </w:p>
    <w:p>
      <w:pPr/>
      <w:r>
        <w:t>2. 采集范围须限于最小必要；</w:t>
      </w:r>
    </w:p>
    <w:p>
      <w:pPr/>
      <w:r>
        <w:t>3. 敏感信息须获得用户明示同意。</w:t>
      </w:r>
    </w:p>
    <w:p>
      <w:r/>
      <w:r>
        <w:rPr>
          <w:b/>
        </w:rPr>
        <w:t>第六条 采集告知</w:t>
      </w:r>
      <w:r/>
    </w:p>
    <w:p>
      <w:pPr/>
      <w:r>
        <w:t>采集须向用户告知：</w:t>
      </w:r>
    </w:p>
    <w:p>
      <w:pPr/>
      <w:r>
        <w:t>1. 采集目的、方式、范围；</w:t>
      </w:r>
    </w:p>
    <w:p>
      <w:pPr/>
      <w:r>
        <w:t>2. 存储期限、使用规则；</w:t>
      </w:r>
    </w:p>
    <w:p>
      <w:pPr/>
      <w:r>
        <w:t>3. 用户享有的权利。</w:t>
      </w:r>
    </w:p>
    <w:p>
      <w:pPr/>
      <w:r>
        <w:t>---</w:t>
      </w:r>
    </w:p>
    <w:p>
      <w:pPr>
        <w:pStyle w:val="Heading2"/>
      </w:pPr>
      <w:r>
        <w:t>第四章 数据存储安全</w:t>
      </w:r>
    </w:p>
    <w:p>
      <w:r/>
      <w:r>
        <w:rPr>
          <w:b/>
        </w:rPr>
        <w:t>第七条 存储架构</w:t>
      </w:r>
      <w:r/>
    </w:p>
    <w:p>
      <w:pPr/>
      <w:r>
        <w:t>```</w:t>
      </w:r>
    </w:p>
    <w:p>
      <w:pPr/>
      <w:r>
        <w:t>┌─────────────────────────────────────────────────────────────┐</w:t>
      </w:r>
    </w:p>
    <w:p>
      <w:pPr/>
      <w:r>
        <w:t>│  存储层                                                      │</w:t>
      </w:r>
    </w:p>
    <w:p>
      <w:pPr/>
      <w:r>
        <w:t>│  ┌─────────────┐  ┌─────────────┐  ┌─────────────┐          │</w:t>
      </w:r>
    </w:p>
    <w:p>
      <w:pPr/>
      <w:r>
        <w:t>│  │ MySQL       │  │ OSS对象存储 │  │ Redis缓存   │          │</w:t>
      </w:r>
    </w:p>
    <w:p>
      <w:pPr/>
      <w:r>
        <w:t>│  │ 结构化数据   │  │ 视频/文件   │  │ 会话/缓存   │          │</w:t>
      </w:r>
    </w:p>
    <w:p>
      <w:pPr/>
      <w:r>
        <w:t>│  └─────────────┘  └─────────────┘  └─────────────┘          │</w:t>
      </w:r>
    </w:p>
    <w:p>
      <w:pPr/>
      <w:r>
        <w:t>│        ↓              ↓                ↓                    │</w:t>
      </w:r>
    </w:p>
    <w:p>
      <w:pPr/>
      <w:r>
        <w:t>│  ┌─────────────┐  ┌─────────────┐  ┌─────────────┐          │</w:t>
      </w:r>
    </w:p>
    <w:p>
      <w:pPr/>
      <w:r>
        <w:t>│  │ 存储加密    │  │ 传输加密    │  │ 访问控制   │          │</w:t>
      </w:r>
    </w:p>
    <w:p>
      <w:pPr/>
      <w:r>
        <w:t>│  │ AES-256    │  │ HTTPS      │  │ RBAC       │          │</w:t>
      </w:r>
    </w:p>
    <w:p>
      <w:pPr/>
      <w:r>
        <w:t>│  └─────────────┘  └─────────────┘  └─────────────┘          │</w:t>
      </w:r>
    </w:p>
    <w:p>
      <w:pPr/>
      <w:r>
        <w:t>└─────────────────────────────────────────────────────────────┘</w:t>
      </w:r>
    </w:p>
    <w:p>
      <w:pPr/>
      <w:r>
        <w:t>```</w:t>
      </w:r>
    </w:p>
    <w:p>
      <w:r/>
      <w:r>
        <w:rPr>
          <w:b/>
        </w:rPr>
        <w:t>第八条 数据库安全</w:t>
      </w:r>
      <w:r/>
    </w:p>
    <w:p>
      <w:pPr/>
      <w:r>
        <w:t>1. 数据库须进行安全加固；</w:t>
      </w:r>
    </w:p>
    <w:p>
      <w:pPr/>
      <w:r>
        <w:t>2. 须关闭不必要的数据库服务；</w:t>
      </w:r>
    </w:p>
    <w:p>
      <w:pPr/>
      <w:r>
        <w:t>3. 须配置数据库访问白名单；</w:t>
      </w:r>
    </w:p>
    <w:p>
      <w:pPr/>
      <w:r>
        <w:t>4. 须启用数据库审计日志。</w:t>
      </w:r>
    </w:p>
    <w:p>
      <w:r/>
      <w:r>
        <w:rPr>
          <w:b/>
        </w:rPr>
        <w:t>第九条 文件存储安全</w:t>
      </w:r>
      <w:r/>
    </w:p>
    <w:p>
      <w:pPr/>
      <w:r>
        <w:t>1. 视频文件须存储于阿里云OSS；</w:t>
      </w:r>
    </w:p>
    <w:p>
      <w:pPr/>
      <w:r>
        <w:t>2. 须开启服务端加密功能；</w:t>
      </w:r>
    </w:p>
    <w:p>
      <w:pPr/>
      <w:r>
        <w:t>3. 须配置合理的Bucket权限策略；</w:t>
      </w:r>
    </w:p>
    <w:p>
      <w:pPr/>
      <w:r>
        <w:t>4. 须定期清理过期文件。</w:t>
      </w:r>
    </w:p>
    <w:p>
      <w:r/>
      <w:r>
        <w:rPr>
          <w:b/>
        </w:rPr>
        <w:t>第十条 加密策略</w:t>
      </w:r>
      <w:r/>
    </w:p>
    <w:p>
      <w:pPr/>
      <w:r>
        <w:t>1. 核心数据存储须采用AES-256加密；</w:t>
      </w:r>
    </w:p>
    <w:p>
      <w:pPr/>
      <w:r>
        <w:t>2. 数据传输须采用HTTPS（TLS 1.2+）；</w:t>
      </w:r>
    </w:p>
    <w:p>
      <w:pPr/>
      <w:r>
        <w:t>3. 密钥须由专门的密钥管理系统管理。</w:t>
      </w:r>
    </w:p>
    <w:p>
      <w:pPr/>
      <w:r>
        <w:t>---</w:t>
      </w:r>
    </w:p>
    <w:p>
      <w:pPr>
        <w:pStyle w:val="Heading2"/>
      </w:pPr>
      <w:r>
        <w:t>第五章 数据访问安全</w:t>
      </w:r>
    </w:p>
    <w:p>
      <w:r/>
      <w:r>
        <w:rPr>
          <w:b/>
        </w:rPr>
        <w:t>第十一条 访问控制</w:t>
      </w:r>
      <w:r/>
    </w:p>
    <w:p>
      <w:pPr/>
      <w:r>
        <w:t>1. 须建立基于角色的数据访问控制；</w:t>
      </w:r>
    </w:p>
    <w:p>
      <w:pPr/>
      <w:r>
        <w:t>2. 须遵循最小权限原则；</w:t>
      </w:r>
    </w:p>
    <w:p>
      <w:pPr/>
      <w:r>
        <w:t>3. 须定期审查数据访问权限。</w:t>
      </w:r>
    </w:p>
    <w:p>
      <w:r/>
      <w:r>
        <w:rPr>
          <w:b/>
        </w:rPr>
        <w:t>第十二条 权限管理</w:t>
      </w:r>
      <w:r/>
    </w:p>
    <w:p>
      <w:pPr/>
      <w:r>
        <w:t>1. 须建立数据访问权限申请审批流程；</w:t>
      </w:r>
    </w:p>
    <w:p>
      <w:pPr/>
      <w:r>
        <w:t>2. 批量数据访问须经数据安全负责人审批；</w:t>
      </w:r>
    </w:p>
    <w:p>
      <w:pPr/>
      <w:r>
        <w:t>3. 须记录所有数据访问操作日志。</w:t>
      </w:r>
    </w:p>
    <w:p>
      <w:r/>
      <w:r>
        <w:rPr>
          <w:b/>
        </w:rPr>
        <w:t>第十三条 日志审计</w:t>
      </w:r>
      <w:r/>
    </w:p>
    <w:p>
      <w:pPr/>
      <w:r>
        <w:t>1. 须记录所有数据访问日志；</w:t>
      </w:r>
    </w:p>
    <w:p>
      <w:pPr/>
      <w:r>
        <w:t>2. 日志内容须包含：访问时间、用户、操作、数据、结果；</w:t>
      </w:r>
    </w:p>
    <w:p>
      <w:pPr/>
      <w:r>
        <w:t>3. 日志须保存不少于3年；</w:t>
      </w:r>
    </w:p>
    <w:p>
      <w:pPr/>
      <w:r>
        <w:t>4. 须定期分析日志，发现异常行为。</w:t>
      </w:r>
    </w:p>
    <w:p>
      <w:pPr/>
      <w:r>
        <w:t>---</w:t>
      </w:r>
    </w:p>
    <w:p>
      <w:pPr>
        <w:pStyle w:val="Heading2"/>
      </w:pPr>
      <w:r>
        <w:t>第六章 数据使用安全</w:t>
      </w:r>
    </w:p>
    <w:p>
      <w:r/>
      <w:r>
        <w:rPr>
          <w:b/>
        </w:rPr>
        <w:t>第十四条 脱敏规则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脱敏规则</w:t>
            </w:r>
          </w:p>
        </w:tc>
        <w:tc>
          <w:tcPr>
            <w:tcW w:type="dxa" w:w="2880"/>
          </w:tcPr>
          <w:p>
            <w:r>
              <w:t>适用场景</w:t>
            </w:r>
          </w:p>
        </w:tc>
      </w:tr>
    </w:tbl>
    <w:p/>
    <w:p>
      <w:pPr/>
      <w:r>
        <w:t>|---------|---------|---------|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手机号</w:t>
            </w:r>
          </w:p>
        </w:tc>
        <w:tc>
          <w:tcPr>
            <w:tcW w:type="dxa" w:w="2880"/>
          </w:tcPr>
          <w:p>
            <w:r>
              <w:t>138****5520</w:t>
            </w:r>
          </w:p>
        </w:tc>
        <w:tc>
          <w:tcPr>
            <w:tcW w:type="dxa" w:w="2880"/>
          </w:tcPr>
          <w:p>
            <w:r>
              <w:t>显示、导出</w:t>
            </w:r>
          </w:p>
        </w:tc>
      </w:tr>
      <w:tr>
        <w:tc>
          <w:tcPr>
            <w:tcW w:type="dxa" w:w="2880"/>
          </w:tcPr>
          <w:p>
            <w:r>
              <w:t>身份证号</w:t>
            </w:r>
          </w:p>
        </w:tc>
        <w:tc>
          <w:tcPr>
            <w:tcW w:type="dxa" w:w="2880"/>
          </w:tcPr>
          <w:p>
            <w:r>
              <w:t>330***********1234</w:t>
            </w:r>
          </w:p>
        </w:tc>
        <w:tc>
          <w:tcPr>
            <w:tcW w:type="dxa" w:w="2880"/>
          </w:tcPr>
          <w:p>
            <w:r>
              <w:t>显示、导出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张*</w:t>
            </w:r>
          </w:p>
        </w:tc>
        <w:tc>
          <w:tcPr>
            <w:tcW w:type="dxa" w:w="2880"/>
          </w:tcPr>
          <w:p>
            <w:r>
              <w:t>显示</w:t>
            </w:r>
          </w:p>
        </w:tc>
      </w:tr>
      <w:tr>
        <w:tc>
          <w:tcPr>
            <w:tcW w:type="dxa" w:w="2880"/>
          </w:tcPr>
          <w:p>
            <w:r>
              <w:t>邮箱</w:t>
            </w:r>
          </w:p>
        </w:tc>
        <w:tc>
          <w:tcPr>
            <w:tcW w:type="dxa" w:w="2880"/>
          </w:tcPr>
          <w:p>
            <w:r>
              <w:t>t***@example.com</w:t>
            </w:r>
          </w:p>
        </w:tc>
        <w:tc>
          <w:tcPr>
            <w:tcW w:type="dxa" w:w="2880"/>
          </w:tcPr>
          <w:p>
            <w:r>
              <w:t>显示</w:t>
            </w:r>
          </w:p>
        </w:tc>
      </w:tr>
    </w:tbl>
    <w:p/>
    <w:p>
      <w:r/>
      <w:r>
        <w:rPr>
          <w:b/>
        </w:rPr>
        <w:t>第十五条 数据分析安全</w:t>
      </w:r>
      <w:r/>
    </w:p>
    <w:p>
      <w:pPr/>
      <w:r>
        <w:t>1. 须在授权范围内使用数据；</w:t>
      </w:r>
    </w:p>
    <w:p>
      <w:pPr/>
      <w:r>
        <w:t>2. 分析结果不得泄露个人信息；</w:t>
      </w:r>
    </w:p>
    <w:p>
      <w:pPr/>
      <w:r>
        <w:t>3. 须记录数据分析过程。</w:t>
      </w:r>
    </w:p>
    <w:p>
      <w:pPr/>
      <w:r>
        <w:t>---</w:t>
      </w:r>
    </w:p>
    <w:p>
      <w:pPr>
        <w:pStyle w:val="Heading2"/>
      </w:pPr>
      <w:r>
        <w:t>第七章 数据传输安全</w:t>
      </w:r>
    </w:p>
    <w:p>
      <w:r/>
      <w:r>
        <w:rPr>
          <w:b/>
        </w:rPr>
        <w:t>第十六条 传输加密</w:t>
      </w:r>
      <w:r/>
    </w:p>
    <w:p>
      <w:pPr/>
      <w:r>
        <w:t>1. 须使用HTTPS进行数据传输；</w:t>
      </w:r>
    </w:p>
    <w:p>
      <w:pPr/>
      <w:r>
        <w:t>2. 须验证服务端证书；</w:t>
      </w:r>
    </w:p>
    <w:p>
      <w:pPr/>
      <w:r>
        <w:t>3. 须防止中间人攻击。</w:t>
      </w:r>
    </w:p>
    <w:p>
      <w:r/>
      <w:r>
        <w:rPr>
          <w:b/>
        </w:rPr>
        <w:t>第十七条 接口安全</w:t>
      </w:r>
      <w:r/>
    </w:p>
    <w:p>
      <w:pPr/>
      <w:r>
        <w:t>1. 须对API接口进行身份认证；</w:t>
      </w:r>
    </w:p>
    <w:p>
      <w:pPr/>
      <w:r>
        <w:t>2. 须验证请求参数合法性；</w:t>
      </w:r>
    </w:p>
    <w:p>
      <w:pPr/>
      <w:r>
        <w:t>3. 须限制接口调用频率。</w:t>
      </w:r>
    </w:p>
    <w:p>
      <w:pPr/>
      <w:r>
        <w:t>---</w:t>
      </w:r>
    </w:p>
    <w:p>
      <w:pPr>
        <w:pStyle w:val="Heading2"/>
      </w:pPr>
      <w:r>
        <w:t>第八章 数据备份与恢复</w:t>
      </w:r>
    </w:p>
    <w:p>
      <w:r/>
      <w:r>
        <w:rPr>
          <w:b/>
        </w:rPr>
        <w:t>第十八条 备份策略</w:t>
      </w:r>
      <w:r/>
    </w:p>
    <w:p>
      <w:pPr/>
      <w:r>
        <w:t>1. 数据库须每日备份；</w:t>
      </w:r>
    </w:p>
    <w:p>
      <w:pPr/>
      <w:r>
        <w:t>2. 关键数据须实时同步备份；</w:t>
      </w:r>
    </w:p>
    <w:p>
      <w:pPr/>
      <w:r>
        <w:t>3. 备份数据须异地存储。</w:t>
      </w:r>
    </w:p>
    <w:p>
      <w:r/>
      <w:r>
        <w:rPr>
          <w:b/>
        </w:rPr>
        <w:t>第十九条 恢复测试</w:t>
      </w:r>
      <w:r/>
    </w:p>
    <w:p>
      <w:pPr/>
      <w:r>
        <w:t>1. 须定期进行数据恢复测试；</w:t>
      </w:r>
    </w:p>
    <w:p>
      <w:pPr/>
      <w:r>
        <w:t>2. 恢复测试须在非生产环境进行；</w:t>
      </w:r>
    </w:p>
    <w:p>
      <w:pPr/>
      <w:r>
        <w:t>3. 须记录恢复测试结果。</w:t>
      </w:r>
    </w:p>
    <w:p>
      <w:pPr/>
      <w:r>
        <w:t>---</w:t>
      </w:r>
    </w:p>
    <w:p>
      <w:pPr>
        <w:pStyle w:val="Heading2"/>
      </w:pPr>
      <w:r>
        <w:t>第九章 数据生命周期管理</w:t>
      </w:r>
    </w:p>
    <w:p>
      <w:r/>
      <w:r>
        <w:rPr>
          <w:b/>
        </w:rPr>
        <w:t>第二十条 存储期限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存储期限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/>
    <w:p>
      <w:pPr/>
      <w:r>
        <w:t>|---------|---------|------|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用户账号信息</w:t>
            </w:r>
          </w:p>
        </w:tc>
        <w:tc>
          <w:tcPr>
            <w:tcW w:type="dxa" w:w="2880"/>
          </w:tcPr>
          <w:p>
            <w:r>
              <w:t>用户注销后30天</w:t>
            </w:r>
          </w:p>
        </w:tc>
        <w:tc>
          <w:tcPr>
            <w:tcW w:type="dxa" w:w="2880"/>
          </w:tcPr>
          <w:p>
            <w:r>
              <w:t>删除</w:t>
            </w:r>
          </w:p>
        </w:tc>
      </w:tr>
      <w:tr>
        <w:tc>
          <w:tcPr>
            <w:tcW w:type="dxa" w:w="2880"/>
          </w:tcPr>
          <w:p>
            <w:r>
              <w:t>面试视频</w:t>
            </w:r>
          </w:p>
        </w:tc>
        <w:tc>
          <w:tcPr>
            <w:tcW w:type="dxa" w:w="2880"/>
          </w:tcPr>
          <w:p>
            <w:r>
              <w:t>30天</w:t>
            </w:r>
          </w:p>
        </w:tc>
        <w:tc>
          <w:tcPr>
            <w:tcW w:type="dxa" w:w="2880"/>
          </w:tcPr>
          <w:p>
            <w:r>
              <w:t>自动清除</w:t>
            </w:r>
          </w:p>
        </w:tc>
      </w:tr>
      <w:tr>
        <w:tc>
          <w:tcPr>
            <w:tcW w:type="dxa" w:w="2880"/>
          </w:tcPr>
          <w:p>
            <w:r>
              <w:t>操作日志</w:t>
            </w:r>
          </w:p>
        </w:tc>
        <w:tc>
          <w:tcPr>
            <w:tcW w:type="dxa" w:w="2880"/>
          </w:tcPr>
          <w:p>
            <w:r>
              <w:t>3年</w:t>
            </w:r>
          </w:p>
        </w:tc>
        <w:tc>
          <w:tcPr>
            <w:tcW w:type="dxa" w:w="2880"/>
          </w:tcPr>
          <w:p>
            <w:r>
              <w:t>到期删除</w:t>
            </w:r>
          </w:p>
        </w:tc>
      </w:tr>
      <w:tr>
        <w:tc>
          <w:tcPr>
            <w:tcW w:type="dxa" w:w="2880"/>
          </w:tcPr>
          <w:p>
            <w:r>
              <w:t>交易记录</w:t>
            </w:r>
          </w:p>
        </w:tc>
        <w:tc>
          <w:tcPr>
            <w:tcW w:type="dxa" w:w="2880"/>
          </w:tcPr>
          <w:p>
            <w:r>
              <w:t>5年</w:t>
            </w:r>
          </w:p>
        </w:tc>
        <w:tc>
          <w:tcPr>
            <w:tcW w:type="dxa" w:w="2880"/>
          </w:tcPr>
          <w:p>
            <w:r>
              <w:t>法定保存</w:t>
            </w:r>
          </w:p>
        </w:tc>
      </w:tr>
    </w:tbl>
    <w:p/>
    <w:p>
      <w:r/>
      <w:r>
        <w:rPr>
          <w:b/>
        </w:rPr>
        <w:t>第二十一条 数据删除</w:t>
      </w:r>
      <w:r/>
    </w:p>
    <w:p>
      <w:pPr/>
      <w:r>
        <w:t>1. 须建立数据删除管理制度；</w:t>
      </w:r>
    </w:p>
    <w:p>
      <w:pPr/>
      <w:r>
        <w:t>2. 数据删除须记录；</w:t>
      </w:r>
    </w:p>
    <w:p>
      <w:pPr/>
      <w:r>
        <w:t>3. 删除须确保数据不可恢复。</w:t>
      </w:r>
    </w:p>
    <w:p>
      <w:pPr/>
      <w:r>
        <w:t>---</w:t>
      </w:r>
    </w:p>
    <w:p>
      <w:pPr>
        <w:pStyle w:val="Heading2"/>
      </w:pPr>
      <w:r>
        <w:t>第十章 数据安全事件处置</w:t>
      </w:r>
    </w:p>
    <w:p>
      <w:r/>
      <w:r>
        <w:rPr>
          <w:b/>
        </w:rPr>
        <w:t>第二十二条 事件分类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级别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  <w:tc>
          <w:tcPr>
            <w:tcW w:type="dxa" w:w="2880"/>
          </w:tcPr>
          <w:p>
            <w:r>
              <w:t>响应时限</w:t>
            </w:r>
          </w:p>
        </w:tc>
      </w:tr>
    </w:tbl>
    <w:p/>
    <w:p>
      <w:pPr/>
      <w:r>
        <w:t>|-----|------|---------|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**严重**</w:t>
            </w:r>
          </w:p>
        </w:tc>
        <w:tc>
          <w:tcPr>
            <w:tcW w:type="dxa" w:w="2880"/>
          </w:tcPr>
          <w:p>
            <w:r>
              <w:t>大规模数据泄露</w:t>
            </w:r>
          </w:p>
        </w:tc>
        <w:tc>
          <w:tcPr>
            <w:tcW w:type="dxa" w:w="2880"/>
          </w:tcPr>
          <w:p>
            <w:r>
              <w:t>立即响应，1小时内报告主管部门</w:t>
            </w:r>
          </w:p>
        </w:tc>
      </w:tr>
      <w:tr>
        <w:tc>
          <w:tcPr>
            <w:tcW w:type="dxa" w:w="2880"/>
          </w:tcPr>
          <w:p>
            <w:r>
              <w:t>**高危**</w:t>
            </w:r>
          </w:p>
        </w:tc>
        <w:tc>
          <w:tcPr>
            <w:tcW w:type="dxa" w:w="2880"/>
          </w:tcPr>
          <w:p>
            <w:r>
              <w:t>部分数据泄露</w:t>
            </w:r>
          </w:p>
        </w:tc>
        <w:tc>
          <w:tcPr>
            <w:tcW w:type="dxa" w:w="2880"/>
          </w:tcPr>
          <w:p>
            <w:r>
              <w:t>4小时内响应</w:t>
            </w:r>
          </w:p>
        </w:tc>
      </w:tr>
      <w:tr>
        <w:tc>
          <w:tcPr>
            <w:tcW w:type="dxa" w:w="2880"/>
          </w:tcPr>
          <w:p>
            <w:r>
              <w:t>**中危**</w:t>
            </w:r>
          </w:p>
        </w:tc>
        <w:tc>
          <w:tcPr>
            <w:tcW w:type="dxa" w:w="2880"/>
          </w:tcPr>
          <w:p>
            <w:r>
              <w:t>数据安全风险</w:t>
            </w:r>
          </w:p>
        </w:tc>
        <w:tc>
          <w:tcPr>
            <w:tcW w:type="dxa" w:w="2880"/>
          </w:tcPr>
          <w:p>
            <w:r>
              <w:t>24小时内响应</w:t>
            </w:r>
          </w:p>
        </w:tc>
      </w:tr>
      <w:tr>
        <w:tc>
          <w:tcPr>
            <w:tcW w:type="dxa" w:w="2880"/>
          </w:tcPr>
          <w:p>
            <w:r>
              <w:t>**低危**</w:t>
            </w:r>
          </w:p>
        </w:tc>
        <w:tc>
          <w:tcPr>
            <w:tcW w:type="dxa" w:w="2880"/>
          </w:tcPr>
          <w:p>
            <w:r>
              <w:t>潜在风险</w:t>
            </w:r>
          </w:p>
        </w:tc>
        <w:tc>
          <w:tcPr>
            <w:tcW w:type="dxa" w:w="2880"/>
          </w:tcPr>
          <w:p>
            <w:r>
              <w:t>72小时内响应</w:t>
            </w:r>
          </w:p>
        </w:tc>
      </w:tr>
    </w:tbl>
    <w:p/>
    <w:p>
      <w:r/>
      <w:r>
        <w:rPr>
          <w:b/>
        </w:rPr>
        <w:t>第二十三条 事件处置</w:t>
      </w:r>
      <w:r/>
    </w:p>
    <w:p>
      <w:pPr/>
      <w:r>
        <w:t>1. 须立即采取控制措施；</w:t>
      </w:r>
    </w:p>
    <w:p>
      <w:pPr/>
      <w:r>
        <w:t>2. 须评估影响范围；</w:t>
      </w:r>
    </w:p>
    <w:p>
      <w:pPr/>
      <w:r>
        <w:t>3. 须通知受影响用户；</w:t>
      </w:r>
    </w:p>
    <w:p>
      <w:pPr/>
      <w:r>
        <w:t>4. 须报告主管部门。</w:t>
      </w:r>
    </w:p>
    <w:p>
      <w:pPr/>
      <w:r>
        <w:t>---</w:t>
      </w:r>
    </w:p>
    <w:p>
      <w:pPr>
        <w:pStyle w:val="Heading2"/>
      </w:pPr>
      <w:r>
        <w:t>第十一章 附则</w:t>
      </w:r>
    </w:p>
    <w:p>
      <w:r/>
      <w:r>
        <w:rPr>
          <w:b/>
        </w:rPr>
        <w:t>第二十四条 解释权</w:t>
      </w:r>
      <w:r/>
    </w:p>
    <w:p>
      <w:pPr/>
      <w:r>
        <w:t>本方案由算法安全管理办公室负责解释。</w:t>
      </w:r>
    </w:p>
    <w:p>
      <w:r/>
      <w:r>
        <w:rPr>
          <w:b/>
        </w:rPr>
        <w:t>第二十五条 生效</w:t>
      </w:r>
      <w:r/>
    </w:p>
    <w:p>
      <w:pPr/>
      <w:r>
        <w:t>本方案自2025年5月1日起生效。</w:t>
      </w:r>
    </w:p>
    <w:p>
      <w:pPr/>
      <w:r>
        <w:t>---</w:t>
      </w:r>
    </w:p>
    <w:p>
      <w:r/>
      <w:r>
        <w:rPr>
          <w:b/>
        </w:rPr>
        <w:t>制定</w:t>
      </w:r>
      <w:r>
        <w:t>：算法安全管理办公室</w:t>
      </w:r>
    </w:p>
    <w:p>
      <w:r/>
      <w:r>
        <w:rPr>
          <w:b/>
        </w:rPr>
        <w:t>审核</w:t>
      </w:r>
      <w:r>
        <w:t>：技术研发部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