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52545">
      <w:pPr>
        <w:spacing w:before="162" w:line="230" w:lineRule="auto"/>
        <w:ind w:left="44"/>
        <w:rPr>
          <w:rFonts w:ascii="Times New Roman" w:hAnsi="Times New Roman" w:eastAsia="Times New Roman" w:cs="Times New Roman"/>
          <w:sz w:val="32"/>
          <w:szCs w:val="32"/>
          <w:lang w:eastAsia="zh-CN"/>
        </w:rPr>
      </w:pPr>
      <w:r>
        <w:rPr>
          <w:rFonts w:ascii="Times New Roman" w:hAnsi="Times New Roman" w:eastAsia="黑体" w:cs="黑体"/>
          <w:spacing w:val="-4"/>
          <w:sz w:val="32"/>
          <w:szCs w:val="32"/>
          <w:lang w:eastAsia="zh-CN"/>
        </w:rPr>
        <w:t>附件</w:t>
      </w:r>
      <w:r>
        <w:rPr>
          <w:rFonts w:ascii="Times New Roman" w:hAnsi="Times New Roman" w:eastAsia="黑体" w:cs="黑体"/>
          <w:spacing w:val="-36"/>
          <w:sz w:val="32"/>
          <w:szCs w:val="32"/>
          <w:lang w:eastAsia="zh-CN"/>
        </w:rPr>
        <w:t xml:space="preserve"> </w:t>
      </w:r>
    </w:p>
    <w:p w14:paraId="19C9C011">
      <w:pPr>
        <w:spacing w:line="315" w:lineRule="auto"/>
        <w:rPr>
          <w:rFonts w:ascii="Times New Roman" w:hAnsi="Times New Roman"/>
          <w:lang w:eastAsia="zh-CN"/>
        </w:rPr>
      </w:pPr>
    </w:p>
    <w:p w14:paraId="352AF8CA">
      <w:pPr>
        <w:spacing w:line="315" w:lineRule="auto"/>
        <w:rPr>
          <w:rFonts w:ascii="Times New Roman" w:hAnsi="Times New Roman"/>
          <w:lang w:eastAsia="zh-CN"/>
        </w:rPr>
      </w:pPr>
    </w:p>
    <w:p w14:paraId="4C79F727">
      <w:pPr>
        <w:widowControl w:val="0"/>
        <w:kinsoku/>
        <w:autoSpaceDE/>
        <w:autoSpaceDN/>
        <w:adjustRightInd/>
        <w:spacing w:line="600" w:lineRule="exact"/>
        <w:jc w:val="center"/>
        <w:textAlignment w:val="auto"/>
        <w:rPr>
          <w:rFonts w:ascii="Times New Roman" w:hAnsi="Times New Roman" w:eastAsia="方正小标宋简体" w:cs="方正小标宋简体"/>
          <w:sz w:val="44"/>
          <w:szCs w:val="44"/>
          <w:lang w:eastAsia="zh-CN"/>
        </w:rPr>
      </w:pPr>
      <w:r>
        <w:rPr>
          <w:rFonts w:hint="eastAsia" w:ascii="Times New Roman" w:hAnsi="Times New Roman" w:eastAsia="方正小标宋简体" w:cs="方正小标宋简体"/>
          <w:snapToGrid/>
          <w:kern w:val="2"/>
          <w:sz w:val="44"/>
          <w:szCs w:val="44"/>
          <w:lang w:eastAsia="zh-CN"/>
        </w:rPr>
        <w:t>“人工智能+高等教育”</w:t>
      </w:r>
      <w:r>
        <w:rPr>
          <w:rFonts w:hint="eastAsia" w:ascii="Times New Roman" w:hAnsi="Times New Roman" w:eastAsia="方正小标宋简体" w:cs="方正小标宋简体"/>
          <w:sz w:val="44"/>
          <w:szCs w:val="44"/>
          <w:lang w:eastAsia="zh-CN"/>
        </w:rPr>
        <w:t>典型应用</w:t>
      </w:r>
    </w:p>
    <w:p w14:paraId="0D6D7B89">
      <w:pPr>
        <w:widowControl w:val="0"/>
        <w:kinsoku/>
        <w:autoSpaceDE/>
        <w:autoSpaceDN/>
        <w:adjustRightInd/>
        <w:spacing w:line="600" w:lineRule="exact"/>
        <w:jc w:val="center"/>
        <w:textAlignment w:val="auto"/>
        <w:rPr>
          <w:rFonts w:ascii="Times New Roman" w:hAnsi="Times New Roman" w:eastAsia="方正小标宋简体" w:cs="方正小标宋简体"/>
          <w:snapToGrid/>
          <w:kern w:val="2"/>
          <w:sz w:val="44"/>
          <w:szCs w:val="44"/>
          <w:lang w:eastAsia="zh-CN"/>
        </w:rPr>
      </w:pPr>
      <w:r>
        <w:rPr>
          <w:rFonts w:hint="eastAsia" w:ascii="Times New Roman" w:hAnsi="Times New Roman" w:eastAsia="方正小标宋简体" w:cs="方正小标宋简体"/>
          <w:sz w:val="44"/>
          <w:szCs w:val="44"/>
          <w:lang w:eastAsia="zh-CN"/>
        </w:rPr>
        <w:t>场景案例</w:t>
      </w:r>
      <w:r>
        <w:rPr>
          <w:rFonts w:hint="eastAsia" w:ascii="Times New Roman" w:hAnsi="Times New Roman" w:eastAsia="方正小标宋简体" w:cs="方正小标宋简体"/>
          <w:snapToGrid/>
          <w:kern w:val="2"/>
          <w:sz w:val="44"/>
          <w:szCs w:val="44"/>
          <w:lang w:eastAsia="zh-CN"/>
        </w:rPr>
        <w:t>申报书</w:t>
      </w:r>
    </w:p>
    <w:p w14:paraId="14B4F518">
      <w:pPr>
        <w:spacing w:line="243" w:lineRule="auto"/>
        <w:rPr>
          <w:rFonts w:ascii="Times New Roman" w:hAnsi="Times New Roman"/>
          <w:lang w:eastAsia="zh-CN"/>
        </w:rPr>
      </w:pPr>
    </w:p>
    <w:p w14:paraId="54B1BA62">
      <w:pPr>
        <w:spacing w:line="243" w:lineRule="auto"/>
        <w:rPr>
          <w:rFonts w:ascii="Times New Roman" w:hAnsi="Times New Roman"/>
          <w:lang w:eastAsia="zh-CN"/>
        </w:rPr>
      </w:pPr>
    </w:p>
    <w:p w14:paraId="3084F1DF">
      <w:pPr>
        <w:spacing w:line="243" w:lineRule="auto"/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</w:pPr>
    </w:p>
    <w:p w14:paraId="1D480846">
      <w:pPr>
        <w:spacing w:line="244" w:lineRule="auto"/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</w:pP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+能力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图谱（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根据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大纲）</w:t>
      </w:r>
    </w:p>
    <w:p w14:paraId="3FA18717">
      <w:pPr>
        <w:spacing w:line="244" w:lineRule="auto"/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</w:pP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+案例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图谱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（根据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案例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，提供3个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类型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：</w:t>
      </w:r>
      <w:r>
        <w:rPr>
          <w:rFonts w:hint="eastAsia" w:asciiTheme="minorEastAsia" w:hAnsiTheme="minorEastAsia" w:eastAsiaTheme="minorEastAsia"/>
          <w:b/>
          <w:color w:val="FF0000"/>
          <w:sz w:val="24"/>
          <w:lang w:eastAsia="zh-CN"/>
        </w:rPr>
        <w:t>①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创新的案例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--杨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博士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主持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的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省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科技厅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重点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项目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反哺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教学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；</w:t>
      </w:r>
      <w:r>
        <w:rPr>
          <w:rFonts w:hint="eastAsia" w:asciiTheme="minorEastAsia" w:hAnsiTheme="minorEastAsia" w:eastAsiaTheme="minorEastAsia"/>
          <w:b/>
          <w:color w:val="FF0000"/>
          <w:sz w:val="24"/>
          <w:lang w:eastAsia="zh-CN"/>
        </w:rPr>
        <w:t>②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容易犯错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的案例；</w:t>
      </w:r>
      <w:r>
        <w:rPr>
          <w:rFonts w:hint="eastAsia" w:asciiTheme="minorEastAsia" w:hAnsiTheme="minorEastAsia" w:eastAsiaTheme="minorEastAsia"/>
          <w:b/>
          <w:color w:val="FF0000"/>
          <w:sz w:val="24"/>
          <w:lang w:eastAsia="zh-CN"/>
        </w:rPr>
        <w:t>③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探究的案例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或高级ACL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）</w:t>
      </w:r>
    </w:p>
    <w:p w14:paraId="41153ECF">
      <w:pPr>
        <w:spacing w:line="244" w:lineRule="auto"/>
        <w:rPr>
          <w:rFonts w:ascii="Times New Roman" w:hAnsi="Times New Roman" w:eastAsiaTheme="minorEastAsia"/>
          <w:lang w:eastAsia="zh-CN"/>
        </w:rPr>
      </w:pPr>
    </w:p>
    <w:p w14:paraId="595E6175">
      <w:pPr>
        <w:spacing w:line="244" w:lineRule="auto"/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</w:pP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（网上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找不到的）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训练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智能体的主题：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关于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什么类型？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设置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了</w:t>
      </w:r>
    </w:p>
    <w:p w14:paraId="27497391">
      <w:pPr>
        <w:spacing w:line="600" w:lineRule="exact"/>
        <w:rPr>
          <w:rFonts w:hint="eastAsia" w:ascii="Times New Roman" w:hAnsi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训练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智能体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，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融入了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哪些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课程思政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？</w:t>
      </w:r>
    </w:p>
    <w:p w14:paraId="13AC6A8E">
      <w:pPr>
        <w:pStyle w:val="2"/>
        <w:spacing w:line="600" w:lineRule="exact"/>
        <w:ind w:firstLine="644" w:firstLineChars="200"/>
        <w:rPr>
          <w:rFonts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spacing w:val="1"/>
          <w:sz w:val="32"/>
          <w:szCs w:val="32"/>
          <w:lang w:eastAsia="zh-CN"/>
        </w:rPr>
        <w:t>案例名称：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 </w:t>
      </w:r>
      <w:r>
        <w:rPr>
          <w:rFonts w:ascii="Times New Roman" w:hAnsi="Times New Roman" w:eastAsia="仿宋_GB2312" w:cs="仿宋_GB2312"/>
          <w:sz w:val="32"/>
          <w:szCs w:val="32"/>
          <w:u w:val="single"/>
          <w:lang w:eastAsia="zh-CN"/>
        </w:rPr>
        <w:t>AI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赋能构建计算机网络课程教学新样态 </w:t>
      </w:r>
      <w:r>
        <w:rPr>
          <w:rFonts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   </w:t>
      </w:r>
    </w:p>
    <w:p w14:paraId="52A6780C">
      <w:pPr>
        <w:spacing w:line="60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  <w:lang w:eastAsia="zh-CN"/>
        </w:rPr>
      </w:pPr>
    </w:p>
    <w:p w14:paraId="36B9EADB">
      <w:pPr>
        <w:pStyle w:val="2"/>
        <w:spacing w:line="600" w:lineRule="exact"/>
        <w:ind w:firstLine="592" w:firstLineChars="200"/>
        <w:rPr>
          <w:rFonts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spacing w:val="-12"/>
          <w:sz w:val="32"/>
          <w:szCs w:val="32"/>
          <w:lang w:eastAsia="zh-CN"/>
        </w:rPr>
        <w:t>申报高校</w:t>
      </w:r>
      <w:r>
        <w:rPr>
          <w:rFonts w:hint="eastAsia" w:ascii="Times New Roman" w:hAnsi="Times New Roman" w:eastAsia="仿宋_GB2312" w:cs="仿宋_GB2312"/>
          <w:spacing w:val="-20"/>
          <w:sz w:val="32"/>
          <w:szCs w:val="32"/>
          <w:lang w:eastAsia="zh-CN"/>
        </w:rPr>
        <w:t>：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      四川</w:t>
      </w:r>
      <w:r>
        <w:rPr>
          <w:rFonts w:ascii="Times New Roman" w:hAnsi="Times New Roman" w:eastAsia="仿宋_GB2312" w:cs="仿宋_GB2312"/>
          <w:sz w:val="32"/>
          <w:szCs w:val="32"/>
          <w:u w:val="single"/>
          <w:lang w:eastAsia="zh-CN"/>
        </w:rPr>
        <w:t>警察学院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                                             </w:t>
      </w:r>
    </w:p>
    <w:p w14:paraId="37CF2EAA">
      <w:pPr>
        <w:spacing w:line="60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  <w:lang w:eastAsia="zh-CN"/>
        </w:rPr>
      </w:pPr>
    </w:p>
    <w:p w14:paraId="675E9F06">
      <w:pPr>
        <w:pStyle w:val="2"/>
        <w:spacing w:line="600" w:lineRule="exact"/>
        <w:ind w:firstLine="624" w:firstLineChars="200"/>
        <w:rPr>
          <w:rFonts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spacing w:val="-4"/>
          <w:sz w:val="32"/>
          <w:szCs w:val="32"/>
          <w:lang w:eastAsia="zh-CN"/>
        </w:rPr>
        <w:t>填报日期：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      </w:t>
      </w:r>
      <w:r>
        <w:rPr>
          <w:rFonts w:ascii="Times New Roman" w:hAnsi="Times New Roman" w:eastAsia="仿宋_GB2312" w:cs="仿宋_GB2312"/>
          <w:sz w:val="32"/>
          <w:szCs w:val="32"/>
          <w:u w:val="single"/>
          <w:lang w:eastAsia="zh-CN"/>
        </w:rPr>
        <w:t>2025.06.13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                                                  </w:t>
      </w:r>
    </w:p>
    <w:p w14:paraId="4AF078D5">
      <w:pPr>
        <w:spacing w:line="222" w:lineRule="auto"/>
        <w:rPr>
          <w:rFonts w:ascii="Times New Roman" w:hAnsi="Times New Roman" w:eastAsia="仿宋_GB2312" w:cs="仿宋_GB2312"/>
          <w:lang w:eastAsia="zh-CN"/>
        </w:rPr>
        <w:sectPr>
          <w:footerReference r:id="rId3" w:type="default"/>
          <w:pgSz w:w="11906" w:h="16839"/>
          <w:pgMar w:top="1431" w:right="1785" w:bottom="1519" w:left="1785" w:header="0" w:footer="1332" w:gutter="0"/>
          <w:cols w:space="720" w:num="1"/>
        </w:sectPr>
      </w:pPr>
    </w:p>
    <w:p w14:paraId="593B2004">
      <w:pPr>
        <w:spacing w:line="304" w:lineRule="auto"/>
        <w:rPr>
          <w:rFonts w:ascii="Times New Roman" w:hAnsi="Times New Roman"/>
          <w:lang w:eastAsia="zh-CN"/>
        </w:rPr>
      </w:pPr>
    </w:p>
    <w:p w14:paraId="751766A4">
      <w:pPr>
        <w:spacing w:line="305" w:lineRule="auto"/>
        <w:rPr>
          <w:rFonts w:ascii="Times New Roman" w:hAnsi="Times New Roman"/>
          <w:lang w:eastAsia="zh-CN"/>
        </w:rPr>
      </w:pPr>
    </w:p>
    <w:p w14:paraId="33D72B08">
      <w:pPr>
        <w:spacing w:before="130" w:line="221" w:lineRule="auto"/>
        <w:jc w:val="center"/>
        <w:rPr>
          <w:rFonts w:ascii="Times New Roman" w:hAnsi="Times New Roman" w:eastAsia="黑体" w:cs="黑体"/>
          <w:sz w:val="40"/>
          <w:szCs w:val="40"/>
          <w:lang w:eastAsia="zh-CN"/>
        </w:rPr>
      </w:pPr>
      <w:r>
        <w:rPr>
          <w:rFonts w:ascii="Times New Roman" w:hAnsi="Times New Roman" w:eastAsia="黑体" w:cs="黑体"/>
          <w:spacing w:val="-18"/>
          <w:sz w:val="40"/>
          <w:szCs w:val="40"/>
          <w:lang w:eastAsia="zh-CN"/>
        </w:rPr>
        <w:t>填</w:t>
      </w:r>
      <w:r>
        <w:rPr>
          <w:rFonts w:ascii="Times New Roman" w:hAnsi="Times New Roman" w:eastAsia="黑体" w:cs="黑体"/>
          <w:spacing w:val="35"/>
          <w:sz w:val="40"/>
          <w:szCs w:val="40"/>
          <w:lang w:eastAsia="zh-CN"/>
        </w:rPr>
        <w:t xml:space="preserve"> </w:t>
      </w:r>
      <w:r>
        <w:rPr>
          <w:rFonts w:ascii="Times New Roman" w:hAnsi="Times New Roman" w:eastAsia="黑体" w:cs="黑体"/>
          <w:spacing w:val="-18"/>
          <w:sz w:val="40"/>
          <w:szCs w:val="40"/>
          <w:lang w:eastAsia="zh-CN"/>
        </w:rPr>
        <w:t>写</w:t>
      </w:r>
      <w:r>
        <w:rPr>
          <w:rFonts w:ascii="Times New Roman" w:hAnsi="Times New Roman" w:eastAsia="黑体" w:cs="黑体"/>
          <w:spacing w:val="21"/>
          <w:sz w:val="40"/>
          <w:szCs w:val="40"/>
          <w:lang w:eastAsia="zh-CN"/>
        </w:rPr>
        <w:t xml:space="preserve"> </w:t>
      </w:r>
      <w:r>
        <w:rPr>
          <w:rFonts w:ascii="Times New Roman" w:hAnsi="Times New Roman" w:eastAsia="黑体" w:cs="黑体"/>
          <w:spacing w:val="-18"/>
          <w:sz w:val="40"/>
          <w:szCs w:val="40"/>
          <w:lang w:eastAsia="zh-CN"/>
        </w:rPr>
        <w:t>说</w:t>
      </w:r>
      <w:r>
        <w:rPr>
          <w:rFonts w:ascii="Times New Roman" w:hAnsi="Times New Roman" w:eastAsia="黑体" w:cs="黑体"/>
          <w:spacing w:val="33"/>
          <w:sz w:val="40"/>
          <w:szCs w:val="40"/>
          <w:lang w:eastAsia="zh-CN"/>
        </w:rPr>
        <w:t xml:space="preserve"> </w:t>
      </w:r>
      <w:r>
        <w:rPr>
          <w:rFonts w:ascii="Times New Roman" w:hAnsi="Times New Roman" w:eastAsia="黑体" w:cs="黑体"/>
          <w:spacing w:val="-18"/>
          <w:sz w:val="40"/>
          <w:szCs w:val="40"/>
          <w:lang w:eastAsia="zh-CN"/>
        </w:rPr>
        <w:t>明</w:t>
      </w:r>
    </w:p>
    <w:p w14:paraId="2CFF6A03">
      <w:pPr>
        <w:spacing w:line="354" w:lineRule="auto"/>
        <w:rPr>
          <w:rFonts w:ascii="Times New Roman" w:hAnsi="Times New Roman"/>
          <w:lang w:eastAsia="zh-CN"/>
        </w:rPr>
      </w:pPr>
    </w:p>
    <w:p w14:paraId="010F1322">
      <w:pPr>
        <w:spacing w:line="355" w:lineRule="auto"/>
        <w:rPr>
          <w:rFonts w:ascii="Times New Roman" w:hAnsi="Times New Roman"/>
          <w:lang w:eastAsia="zh-CN"/>
        </w:rPr>
      </w:pPr>
    </w:p>
    <w:p w14:paraId="0937D93A">
      <w:pPr>
        <w:spacing w:line="600" w:lineRule="exact"/>
        <w:rPr>
          <w:rFonts w:ascii="Times New Roman" w:hAnsi="Times New Roman"/>
          <w:lang w:eastAsia="zh-CN"/>
        </w:rPr>
      </w:pPr>
    </w:p>
    <w:p w14:paraId="61DF7524">
      <w:pPr>
        <w:pStyle w:val="2"/>
        <w:spacing w:line="600" w:lineRule="exact"/>
        <w:ind w:firstLine="640" w:firstLineChars="200"/>
        <w:rPr>
          <w:rFonts w:ascii="Times New Roman" w:hAnsi="Times New Roman"/>
          <w:spacing w:val="5"/>
          <w:position w:val="23"/>
          <w:lang w:eastAsia="zh-CN"/>
        </w:rPr>
      </w:pPr>
      <w:r>
        <w:rPr>
          <w:rFonts w:hint="eastAsia" w:ascii="Times New Roman" w:hAnsi="Times New Roman"/>
          <w:spacing w:val="5"/>
          <w:position w:val="23"/>
          <w:lang w:eastAsia="zh-CN"/>
        </w:rPr>
        <w:t>一、请按照模板要求填写各项内容。</w:t>
      </w:r>
    </w:p>
    <w:p w14:paraId="2971E66D">
      <w:pPr>
        <w:pStyle w:val="2"/>
        <w:spacing w:line="600" w:lineRule="exact"/>
        <w:ind w:firstLine="640" w:firstLineChars="200"/>
        <w:rPr>
          <w:rFonts w:ascii="Times New Roman" w:hAnsi="Times New Roman"/>
          <w:spacing w:val="5"/>
          <w:position w:val="23"/>
          <w:lang w:eastAsia="zh-CN"/>
        </w:rPr>
      </w:pPr>
      <w:r>
        <w:rPr>
          <w:rFonts w:hint="eastAsia" w:ascii="Times New Roman" w:hAnsi="Times New Roman"/>
          <w:spacing w:val="5"/>
          <w:position w:val="23"/>
          <w:lang w:eastAsia="zh-CN"/>
        </w:rPr>
        <w:t>二、第一次出现外文名词时，要写清全称和缩写，再出现同一词时可以使用缩写。</w:t>
      </w:r>
    </w:p>
    <w:p w14:paraId="01E7AB89">
      <w:pPr>
        <w:pStyle w:val="2"/>
        <w:spacing w:line="600" w:lineRule="exact"/>
        <w:ind w:firstLine="640" w:firstLineChars="200"/>
        <w:rPr>
          <w:rFonts w:ascii="Times New Roman" w:hAnsi="Times New Roman"/>
          <w:spacing w:val="5"/>
          <w:position w:val="23"/>
          <w:lang w:eastAsia="zh-CN"/>
        </w:rPr>
      </w:pPr>
      <w:r>
        <w:rPr>
          <w:rFonts w:hint="eastAsia" w:ascii="Times New Roman" w:hAnsi="Times New Roman"/>
          <w:spacing w:val="5"/>
          <w:position w:val="23"/>
          <w:lang w:eastAsia="zh-CN"/>
        </w:rPr>
        <w:t>三、申报材料应客观、真实，尊重他人知识产权，遵守国家有关知识产权法律法规。</w:t>
      </w:r>
    </w:p>
    <w:p w14:paraId="779DF6FF">
      <w:pPr>
        <w:pStyle w:val="2"/>
        <w:spacing w:line="600" w:lineRule="exact"/>
        <w:ind w:firstLine="640" w:firstLineChars="200"/>
        <w:rPr>
          <w:rFonts w:ascii="Times New Roman" w:hAnsi="Times New Roman"/>
          <w:spacing w:val="5"/>
          <w:position w:val="23"/>
          <w:lang w:eastAsia="zh-CN"/>
        </w:rPr>
        <w:sectPr>
          <w:footerReference r:id="rId4" w:type="default"/>
          <w:pgSz w:w="11906" w:h="16839"/>
          <w:pgMar w:top="1431" w:right="1704" w:bottom="1519" w:left="1785" w:header="0" w:footer="1332" w:gutter="0"/>
          <w:cols w:space="720" w:num="1"/>
        </w:sectPr>
      </w:pPr>
      <w:r>
        <w:rPr>
          <w:rFonts w:hint="eastAsia" w:ascii="Times New Roman" w:hAnsi="Times New Roman"/>
          <w:spacing w:val="5"/>
          <w:position w:val="23"/>
          <w:lang w:eastAsia="zh-CN"/>
        </w:rPr>
        <w:t>四、申报材料编写应避免过于理论化和技术化，避免体现申报单位宣传色彩。</w:t>
      </w:r>
    </w:p>
    <w:p w14:paraId="29A684A9">
      <w:pPr>
        <w:spacing w:line="304" w:lineRule="auto"/>
        <w:rPr>
          <w:rFonts w:ascii="Times New Roman" w:hAnsi="Times New Roman"/>
          <w:lang w:eastAsia="zh-CN"/>
        </w:rPr>
      </w:pPr>
    </w:p>
    <w:p w14:paraId="4DD01FC2">
      <w:pPr>
        <w:spacing w:line="305" w:lineRule="auto"/>
        <w:rPr>
          <w:rFonts w:ascii="Times New Roman" w:hAnsi="Times New Roman"/>
          <w:lang w:eastAsia="zh-CN"/>
        </w:rPr>
      </w:pPr>
    </w:p>
    <w:p w14:paraId="62E422BA">
      <w:pPr>
        <w:widowControl w:val="0"/>
        <w:kinsoku/>
        <w:autoSpaceDE/>
        <w:autoSpaceDN/>
        <w:adjustRightInd/>
        <w:snapToGrid/>
        <w:spacing w:line="560" w:lineRule="exact"/>
        <w:jc w:val="center"/>
        <w:textAlignment w:val="auto"/>
        <w:rPr>
          <w:rFonts w:ascii="Times New Roman" w:hAnsi="Times New Roman" w:eastAsia="黑体" w:cs="黑体"/>
          <w:sz w:val="40"/>
          <w:szCs w:val="40"/>
          <w:lang w:eastAsia="zh-CN"/>
        </w:rPr>
      </w:pPr>
      <w:r>
        <w:rPr>
          <w:rFonts w:ascii="Times New Roman" w:hAnsi="Times New Roman" w:eastAsia="黑体" w:cs="黑体"/>
          <w:spacing w:val="-19"/>
          <w:sz w:val="40"/>
          <w:szCs w:val="40"/>
          <w:lang w:eastAsia="zh-CN"/>
        </w:rPr>
        <w:t>承</w:t>
      </w:r>
      <w:r>
        <w:rPr>
          <w:rFonts w:ascii="Times New Roman" w:hAnsi="Times New Roman" w:eastAsia="黑体" w:cs="黑体"/>
          <w:spacing w:val="14"/>
          <w:sz w:val="40"/>
          <w:szCs w:val="40"/>
          <w:lang w:eastAsia="zh-CN"/>
        </w:rPr>
        <w:t xml:space="preserve"> </w:t>
      </w:r>
      <w:r>
        <w:rPr>
          <w:rFonts w:ascii="Times New Roman" w:hAnsi="Times New Roman" w:eastAsia="黑体" w:cs="黑体"/>
          <w:spacing w:val="-19"/>
          <w:sz w:val="40"/>
          <w:szCs w:val="40"/>
          <w:lang w:eastAsia="zh-CN"/>
        </w:rPr>
        <w:t>诺</w:t>
      </w:r>
      <w:r>
        <w:rPr>
          <w:rFonts w:ascii="Times New Roman" w:hAnsi="Times New Roman" w:eastAsia="黑体" w:cs="黑体"/>
          <w:spacing w:val="47"/>
          <w:sz w:val="40"/>
          <w:szCs w:val="40"/>
          <w:lang w:eastAsia="zh-CN"/>
        </w:rPr>
        <w:t xml:space="preserve"> </w:t>
      </w:r>
      <w:r>
        <w:rPr>
          <w:rFonts w:ascii="Times New Roman" w:hAnsi="Times New Roman" w:eastAsia="黑体" w:cs="黑体"/>
          <w:spacing w:val="-19"/>
          <w:sz w:val="40"/>
          <w:szCs w:val="40"/>
          <w:lang w:eastAsia="zh-CN"/>
        </w:rPr>
        <w:t>申</w:t>
      </w:r>
      <w:r>
        <w:rPr>
          <w:rFonts w:ascii="Times New Roman" w:hAnsi="Times New Roman" w:eastAsia="黑体" w:cs="黑体"/>
          <w:spacing w:val="34"/>
          <w:sz w:val="40"/>
          <w:szCs w:val="40"/>
          <w:lang w:eastAsia="zh-CN"/>
        </w:rPr>
        <w:t xml:space="preserve"> </w:t>
      </w:r>
      <w:r>
        <w:rPr>
          <w:rFonts w:ascii="Times New Roman" w:hAnsi="Times New Roman" w:eastAsia="黑体" w:cs="黑体"/>
          <w:spacing w:val="-19"/>
          <w:sz w:val="40"/>
          <w:szCs w:val="40"/>
          <w:lang w:eastAsia="zh-CN"/>
        </w:rPr>
        <w:t>明</w:t>
      </w:r>
    </w:p>
    <w:p w14:paraId="13DB2ED4">
      <w:pPr>
        <w:spacing w:line="313" w:lineRule="auto"/>
        <w:rPr>
          <w:rFonts w:ascii="Times New Roman" w:hAnsi="Times New Roman"/>
          <w:lang w:eastAsia="zh-CN"/>
        </w:rPr>
      </w:pPr>
    </w:p>
    <w:p w14:paraId="28F17500">
      <w:pPr>
        <w:spacing w:line="313" w:lineRule="auto"/>
        <w:rPr>
          <w:rFonts w:ascii="Times New Roman" w:hAnsi="Times New Roman"/>
          <w:lang w:eastAsia="zh-CN"/>
        </w:rPr>
      </w:pPr>
    </w:p>
    <w:p w14:paraId="7B57AC17">
      <w:pPr>
        <w:spacing w:line="314" w:lineRule="auto"/>
        <w:rPr>
          <w:rFonts w:ascii="Times New Roman" w:hAnsi="Times New Roman" w:eastAsia="仿宋_GB2312" w:cs="仿宋_GB2312"/>
          <w:sz w:val="32"/>
          <w:szCs w:val="32"/>
          <w:lang w:eastAsia="zh-CN"/>
        </w:rPr>
      </w:pPr>
    </w:p>
    <w:p w14:paraId="005598D0">
      <w:pPr>
        <w:spacing w:line="60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  <w:t>我单位申报的所有材料，均真实、完整，如有不实，愿承担相应的责任。</w:t>
      </w:r>
    </w:p>
    <w:p w14:paraId="3E88E848">
      <w:pPr>
        <w:spacing w:line="270" w:lineRule="auto"/>
        <w:rPr>
          <w:rFonts w:ascii="Times New Roman" w:hAnsi="Times New Roman"/>
          <w:lang w:eastAsia="zh-CN"/>
        </w:rPr>
      </w:pPr>
    </w:p>
    <w:p w14:paraId="1F6ABA7B">
      <w:pPr>
        <w:spacing w:line="270" w:lineRule="auto"/>
        <w:rPr>
          <w:rFonts w:ascii="Times New Roman" w:hAnsi="Times New Roman"/>
          <w:lang w:eastAsia="zh-CN"/>
        </w:rPr>
      </w:pPr>
    </w:p>
    <w:p w14:paraId="06AF6284">
      <w:pPr>
        <w:spacing w:line="270" w:lineRule="auto"/>
        <w:rPr>
          <w:rFonts w:ascii="Times New Roman" w:hAnsi="Times New Roman"/>
          <w:lang w:eastAsia="zh-CN"/>
        </w:rPr>
      </w:pPr>
    </w:p>
    <w:p w14:paraId="6251AEA2">
      <w:pPr>
        <w:spacing w:line="270" w:lineRule="auto"/>
        <w:rPr>
          <w:rFonts w:ascii="Times New Roman" w:hAnsi="Times New Roman"/>
          <w:lang w:eastAsia="zh-CN"/>
        </w:rPr>
      </w:pPr>
    </w:p>
    <w:p w14:paraId="5CC013C7">
      <w:pPr>
        <w:spacing w:line="270" w:lineRule="auto"/>
        <w:rPr>
          <w:rFonts w:ascii="Times New Roman" w:hAnsi="Times New Roman"/>
          <w:lang w:eastAsia="zh-CN"/>
        </w:rPr>
      </w:pPr>
    </w:p>
    <w:p w14:paraId="0FF276BE">
      <w:pPr>
        <w:spacing w:line="270" w:lineRule="auto"/>
        <w:rPr>
          <w:rFonts w:ascii="Times New Roman" w:hAnsi="Times New Roman"/>
          <w:lang w:eastAsia="zh-CN"/>
        </w:rPr>
      </w:pPr>
    </w:p>
    <w:p w14:paraId="5E4DDD1A">
      <w:pPr>
        <w:spacing w:line="271" w:lineRule="auto"/>
        <w:rPr>
          <w:rFonts w:ascii="Times New Roman" w:hAnsi="Times New Roman"/>
          <w:lang w:eastAsia="zh-CN"/>
        </w:rPr>
      </w:pPr>
    </w:p>
    <w:p w14:paraId="7AC82C50">
      <w:pPr>
        <w:pStyle w:val="2"/>
        <w:spacing w:before="101" w:line="222" w:lineRule="auto"/>
        <w:ind w:left="5466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pacing w:val="2"/>
          <w:lang w:eastAsia="zh-CN"/>
        </w:rPr>
        <w:t>公章：</w:t>
      </w:r>
    </w:p>
    <w:p w14:paraId="533B31BB">
      <w:pPr>
        <w:pStyle w:val="2"/>
        <w:spacing w:before="189" w:line="222" w:lineRule="auto"/>
        <w:jc w:val="right"/>
        <w:rPr>
          <w:rFonts w:ascii="Times New Roman" w:hAnsi="Times New Roman"/>
          <w:lang w:eastAsia="zh-CN"/>
        </w:rPr>
      </w:pPr>
      <w:r>
        <w:rPr>
          <w:rFonts w:hint="eastAsia" w:ascii="Times New Roman" w:hAnsi="Times New Roman"/>
          <w:spacing w:val="-31"/>
          <w:lang w:eastAsia="zh-CN"/>
        </w:rPr>
        <w:t>2</w:t>
      </w:r>
      <w:r>
        <w:rPr>
          <w:rFonts w:ascii="Times New Roman" w:hAnsi="Times New Roman"/>
          <w:spacing w:val="-31"/>
          <w:lang w:eastAsia="zh-CN"/>
        </w:rPr>
        <w:t>025年</w:t>
      </w:r>
      <w:r>
        <w:rPr>
          <w:rFonts w:hint="eastAsia" w:ascii="Times New Roman" w:hAnsi="Times New Roman"/>
          <w:spacing w:val="-31"/>
          <w:lang w:eastAsia="zh-CN"/>
        </w:rPr>
        <w:t>06</w:t>
      </w:r>
      <w:r>
        <w:rPr>
          <w:rFonts w:ascii="Times New Roman" w:hAnsi="Times New Roman"/>
          <w:spacing w:val="-31"/>
          <w:lang w:eastAsia="zh-CN"/>
        </w:rPr>
        <w:t>月</w:t>
      </w:r>
      <w:r>
        <w:rPr>
          <w:rFonts w:hint="eastAsia" w:ascii="Times New Roman" w:hAnsi="Times New Roman"/>
          <w:spacing w:val="-31"/>
          <w:lang w:eastAsia="zh-CN"/>
        </w:rPr>
        <w:t>16</w:t>
      </w:r>
      <w:r>
        <w:rPr>
          <w:rFonts w:ascii="Times New Roman" w:hAnsi="Times New Roman"/>
          <w:spacing w:val="-31"/>
          <w:lang w:eastAsia="zh-CN"/>
        </w:rPr>
        <w:t>日</w:t>
      </w:r>
    </w:p>
    <w:p w14:paraId="140BE481">
      <w:pPr>
        <w:spacing w:line="246" w:lineRule="auto"/>
        <w:rPr>
          <w:rFonts w:ascii="Times New Roman" w:hAnsi="Times New Roman"/>
          <w:lang w:eastAsia="zh-CN"/>
        </w:rPr>
      </w:pPr>
    </w:p>
    <w:p w14:paraId="6D1FEEA0">
      <w:pPr>
        <w:spacing w:line="246" w:lineRule="auto"/>
        <w:rPr>
          <w:rFonts w:ascii="Times New Roman" w:hAnsi="Times New Roman"/>
          <w:lang w:eastAsia="zh-CN"/>
        </w:rPr>
      </w:pPr>
    </w:p>
    <w:p w14:paraId="0009267A">
      <w:pPr>
        <w:spacing w:line="246" w:lineRule="auto"/>
        <w:rPr>
          <w:rFonts w:ascii="Times New Roman" w:hAnsi="Times New Roman"/>
          <w:lang w:eastAsia="zh-CN"/>
        </w:rPr>
      </w:pPr>
    </w:p>
    <w:p w14:paraId="2B4ACDA3">
      <w:pPr>
        <w:spacing w:line="246" w:lineRule="auto"/>
        <w:rPr>
          <w:rFonts w:ascii="Times New Roman" w:hAnsi="Times New Roman"/>
          <w:lang w:eastAsia="zh-CN"/>
        </w:rPr>
      </w:pPr>
    </w:p>
    <w:p w14:paraId="28EEF4C5">
      <w:pPr>
        <w:spacing w:line="246" w:lineRule="auto"/>
        <w:rPr>
          <w:rFonts w:ascii="Times New Roman" w:hAnsi="Times New Roman"/>
          <w:lang w:eastAsia="zh-CN"/>
        </w:rPr>
      </w:pPr>
    </w:p>
    <w:p w14:paraId="4FA5EBBB">
      <w:pPr>
        <w:spacing w:line="246" w:lineRule="auto"/>
        <w:rPr>
          <w:rFonts w:ascii="Times New Roman" w:hAnsi="Times New Roman"/>
          <w:lang w:eastAsia="zh-CN"/>
        </w:rPr>
      </w:pPr>
    </w:p>
    <w:p w14:paraId="1689A82F">
      <w:pPr>
        <w:spacing w:line="246" w:lineRule="auto"/>
        <w:rPr>
          <w:rFonts w:ascii="Times New Roman" w:hAnsi="Times New Roman"/>
          <w:lang w:eastAsia="zh-CN"/>
        </w:rPr>
      </w:pPr>
    </w:p>
    <w:p w14:paraId="42C60816">
      <w:pPr>
        <w:spacing w:line="247" w:lineRule="auto"/>
        <w:rPr>
          <w:rFonts w:ascii="Times New Roman" w:hAnsi="Times New Roman"/>
          <w:lang w:eastAsia="zh-CN"/>
        </w:rPr>
      </w:pPr>
    </w:p>
    <w:p w14:paraId="7BEE70C4">
      <w:pPr>
        <w:spacing w:line="247" w:lineRule="auto"/>
        <w:rPr>
          <w:rFonts w:ascii="Times New Roman" w:hAnsi="Times New Roman"/>
          <w:lang w:eastAsia="zh-CN"/>
        </w:rPr>
      </w:pPr>
    </w:p>
    <w:p w14:paraId="588BC7E1">
      <w:pPr>
        <w:spacing w:line="247" w:lineRule="auto"/>
        <w:rPr>
          <w:rFonts w:ascii="Times New Roman" w:hAnsi="Times New Roman"/>
          <w:lang w:eastAsia="zh-CN"/>
        </w:rPr>
      </w:pPr>
    </w:p>
    <w:p w14:paraId="3EE7FA3B">
      <w:pPr>
        <w:spacing w:line="247" w:lineRule="auto"/>
        <w:rPr>
          <w:rFonts w:ascii="Times New Roman" w:hAnsi="Times New Roman"/>
          <w:lang w:eastAsia="zh-CN"/>
        </w:rPr>
      </w:pPr>
    </w:p>
    <w:p w14:paraId="70FCFDF9">
      <w:pPr>
        <w:spacing w:line="216" w:lineRule="auto"/>
        <w:rPr>
          <w:rFonts w:ascii="Times New Roman" w:hAnsi="Times New Roman"/>
          <w:sz w:val="24"/>
          <w:szCs w:val="24"/>
          <w:lang w:eastAsia="zh-CN"/>
        </w:rPr>
        <w:sectPr>
          <w:footerReference r:id="rId5" w:type="default"/>
          <w:pgSz w:w="11906" w:h="16839"/>
          <w:pgMar w:top="1431" w:right="1785" w:bottom="1519" w:left="1785" w:header="0" w:footer="1332" w:gutter="0"/>
          <w:cols w:space="720" w:num="1"/>
        </w:sectPr>
      </w:pPr>
    </w:p>
    <w:p w14:paraId="3732E9F5">
      <w:pPr>
        <w:widowControl w:val="0"/>
        <w:kinsoku/>
        <w:autoSpaceDE/>
        <w:autoSpaceDN/>
        <w:adjustRightInd/>
        <w:snapToGrid/>
        <w:spacing w:line="560" w:lineRule="exact"/>
        <w:ind w:firstLine="640" w:firstLineChars="200"/>
        <w:jc w:val="both"/>
        <w:textAlignment w:val="auto"/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  <w:t>一、基本信息</w:t>
      </w:r>
      <w:r>
        <w:rPr>
          <w:rFonts w:hint="eastAsia"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【王刚</w:t>
      </w:r>
      <w:r>
        <w:rPr>
          <w:rFonts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负责】</w:t>
      </w:r>
    </w:p>
    <w:p w14:paraId="32C5C518">
      <w:pPr>
        <w:spacing w:line="86" w:lineRule="exact"/>
        <w:rPr>
          <w:rFonts w:ascii="Times New Roman" w:hAnsi="Times New Roman"/>
          <w:lang w:eastAsia="zh-CN"/>
        </w:rPr>
      </w:pPr>
    </w:p>
    <w:tbl>
      <w:tblPr>
        <w:tblStyle w:val="10"/>
        <w:tblW w:w="865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2"/>
        <w:gridCol w:w="1394"/>
        <w:gridCol w:w="1559"/>
        <w:gridCol w:w="1607"/>
        <w:gridCol w:w="2287"/>
      </w:tblGrid>
      <w:tr w14:paraId="3C636DB2">
        <w:trPr>
          <w:trHeight w:val="890" w:hRule="atLeast"/>
        </w:trPr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DA450E">
            <w:pPr>
              <w:ind w:left="357"/>
              <w:rPr>
                <w:rFonts w:ascii="楷体" w:hAnsi="楷体" w:eastAsia="楷体" w:cs="仿宋_GB2312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仿宋_GB2312"/>
                <w:color w:val="auto"/>
                <w:spacing w:val="-5"/>
                <w:sz w:val="28"/>
                <w:szCs w:val="28"/>
                <w:lang w:eastAsia="zh-CN"/>
              </w:rPr>
              <w:t>学校名称</w:t>
            </w:r>
          </w:p>
        </w:tc>
        <w:tc>
          <w:tcPr>
            <w:tcW w:w="6847" w:type="dxa"/>
            <w:gridSpan w:val="4"/>
            <w:tcBorders>
              <w:left w:val="single" w:color="auto" w:sz="4" w:space="0"/>
            </w:tcBorders>
            <w:vAlign w:val="center"/>
          </w:tcPr>
          <w:p w14:paraId="2F163A5A">
            <w:pPr>
              <w:pStyle w:val="11"/>
              <w:jc w:val="center"/>
              <w:rPr>
                <w:rFonts w:ascii="宋体" w:hAnsi="宋体" w:eastAsia="宋体" w:cs="仿宋_GB2312"/>
                <w:b/>
                <w:sz w:val="30"/>
                <w:szCs w:val="30"/>
                <w:lang w:eastAsia="zh-CN"/>
              </w:rPr>
            </w:pPr>
            <w:r>
              <w:rPr>
                <w:rFonts w:hint="eastAsia" w:ascii="宋体" w:hAnsi="宋体" w:eastAsia="宋体" w:cs="仿宋_GB2312"/>
                <w:b/>
                <w:sz w:val="30"/>
                <w:szCs w:val="30"/>
                <w:lang w:eastAsia="zh-CN"/>
              </w:rPr>
              <w:t>四川</w:t>
            </w:r>
            <w:r>
              <w:rPr>
                <w:rFonts w:ascii="宋体" w:hAnsi="宋体" w:eastAsia="宋体" w:cs="仿宋_GB2312"/>
                <w:b/>
                <w:sz w:val="30"/>
                <w:szCs w:val="30"/>
                <w:lang w:eastAsia="zh-CN"/>
              </w:rPr>
              <w:t>警察学院</w:t>
            </w:r>
          </w:p>
        </w:tc>
      </w:tr>
      <w:tr w14:paraId="3AC692DF">
        <w:trPr>
          <w:trHeight w:val="629" w:hRule="atLeast"/>
        </w:trPr>
        <w:tc>
          <w:tcPr>
            <w:tcW w:w="18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5F562E">
            <w:pPr>
              <w:jc w:val="center"/>
              <w:rPr>
                <w:rFonts w:ascii="楷体" w:hAnsi="楷体" w:eastAsia="楷体" w:cs="仿宋_GB2312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仿宋_GB2312"/>
                <w:color w:val="auto"/>
                <w:spacing w:val="-5"/>
                <w:sz w:val="28"/>
                <w:szCs w:val="28"/>
                <w:lang w:eastAsia="zh-CN"/>
              </w:rPr>
              <w:t>联系人</w:t>
            </w:r>
          </w:p>
        </w:tc>
        <w:tc>
          <w:tcPr>
            <w:tcW w:w="1394" w:type="dxa"/>
            <w:tcBorders>
              <w:left w:val="single" w:color="auto" w:sz="4" w:space="0"/>
            </w:tcBorders>
            <w:vAlign w:val="center"/>
          </w:tcPr>
          <w:p w14:paraId="73F998DD">
            <w:pPr>
              <w:spacing w:line="220" w:lineRule="auto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560"/>
                <w:kern w:val="0"/>
                <w:sz w:val="28"/>
                <w:szCs w:val="28"/>
                <w:fitText w:val="1120" w:id="-1046768894"/>
              </w:rPr>
              <w:t>姓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8"/>
                <w:szCs w:val="28"/>
                <w:fitText w:val="1120" w:id="-1046768894"/>
              </w:rPr>
              <w:t>名</w:t>
            </w:r>
          </w:p>
        </w:tc>
        <w:tc>
          <w:tcPr>
            <w:tcW w:w="1559" w:type="dxa"/>
            <w:vAlign w:val="center"/>
          </w:tcPr>
          <w:p w14:paraId="4904C42E">
            <w:pPr>
              <w:pStyle w:val="11"/>
              <w:rPr>
                <w:rFonts w:ascii="仿宋_GB2312" w:hAnsi="仿宋_GB2312" w:eastAsia="仿宋_GB2312" w:cs="仿宋_GB231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  <w:t>王刚</w:t>
            </w:r>
            <w:r>
              <w:rPr>
                <w:rFonts w:ascii="仿宋_GB2312" w:hAnsi="仿宋_GB2312" w:eastAsia="仿宋_GB2312" w:cs="仿宋_GB2312"/>
                <w:sz w:val="24"/>
                <w:lang w:eastAsia="zh-CN"/>
              </w:rPr>
              <w:t>、杨兴春</w:t>
            </w:r>
          </w:p>
        </w:tc>
        <w:tc>
          <w:tcPr>
            <w:tcW w:w="1607" w:type="dxa"/>
            <w:vAlign w:val="center"/>
          </w:tcPr>
          <w:p w14:paraId="04EB5A7C">
            <w:pPr>
              <w:spacing w:line="219" w:lineRule="auto"/>
              <w:ind w:left="145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  <w:sz w:val="28"/>
                <w:szCs w:val="28"/>
              </w:rPr>
              <w:t>部</w:t>
            </w:r>
            <w:r>
              <w:rPr>
                <w:rFonts w:hint="eastAsia" w:ascii="仿宋_GB2312" w:hAnsi="仿宋_GB2312" w:eastAsia="仿宋_GB2312" w:cs="仿宋_GB2312"/>
                <w:spacing w:val="-3"/>
                <w:sz w:val="28"/>
                <w:szCs w:val="28"/>
                <w:lang w:eastAsia="zh-CN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spacing w:val="-3"/>
                <w:sz w:val="28"/>
                <w:szCs w:val="28"/>
              </w:rPr>
              <w:t>门</w:t>
            </w:r>
          </w:p>
        </w:tc>
        <w:tc>
          <w:tcPr>
            <w:tcW w:w="2287" w:type="dxa"/>
            <w:vAlign w:val="center"/>
          </w:tcPr>
          <w:p w14:paraId="5B6288CC">
            <w:pPr>
              <w:pStyle w:val="11"/>
              <w:rPr>
                <w:rFonts w:ascii="仿宋_GB2312" w:hAnsi="仿宋_GB2312" w:eastAsia="仿宋_GB2312" w:cs="仿宋_GB231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  <w:t>计算机</w:t>
            </w:r>
            <w:r>
              <w:rPr>
                <w:rFonts w:ascii="仿宋_GB2312" w:hAnsi="仿宋_GB2312" w:eastAsia="仿宋_GB2312" w:cs="仿宋_GB2312"/>
                <w:sz w:val="24"/>
                <w:lang w:eastAsia="zh-CN"/>
              </w:rPr>
              <w:t>科学与技术系</w:t>
            </w:r>
          </w:p>
        </w:tc>
      </w:tr>
      <w:tr w14:paraId="1A068D60">
        <w:trPr>
          <w:trHeight w:val="629" w:hRule="atLeast"/>
        </w:trPr>
        <w:tc>
          <w:tcPr>
            <w:tcW w:w="18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CE259B">
            <w:pPr>
              <w:pStyle w:val="11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394" w:type="dxa"/>
            <w:tcBorders>
              <w:left w:val="single" w:color="auto" w:sz="4" w:space="0"/>
            </w:tcBorders>
            <w:vAlign w:val="center"/>
          </w:tcPr>
          <w:p w14:paraId="16B278DC">
            <w:pPr>
              <w:spacing w:line="219" w:lineRule="auto"/>
              <w:ind w:left="145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  <w:sz w:val="28"/>
                <w:szCs w:val="28"/>
              </w:rPr>
              <w:t>联系电话</w:t>
            </w:r>
          </w:p>
        </w:tc>
        <w:tc>
          <w:tcPr>
            <w:tcW w:w="1559" w:type="dxa"/>
            <w:vAlign w:val="center"/>
          </w:tcPr>
          <w:p w14:paraId="746E16A7">
            <w:pPr>
              <w:pStyle w:val="11"/>
              <w:rPr>
                <w:rFonts w:ascii="仿宋_GB2312" w:hAnsi="仿宋_GB2312" w:eastAsia="仿宋_GB2312" w:cs="仿宋_GB231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lang w:eastAsia="zh-CN"/>
              </w:rPr>
              <w:t>13079119188、18989127005</w:t>
            </w:r>
          </w:p>
        </w:tc>
        <w:tc>
          <w:tcPr>
            <w:tcW w:w="1607" w:type="dxa"/>
            <w:vAlign w:val="center"/>
          </w:tcPr>
          <w:p w14:paraId="78D0A07A">
            <w:pPr>
              <w:spacing w:line="219" w:lineRule="auto"/>
              <w:ind w:left="145"/>
              <w:rPr>
                <w:rFonts w:ascii="仿宋_GB2312" w:hAnsi="仿宋_GB2312" w:eastAsia="仿宋_GB2312" w:cs="仿宋_GB2312"/>
                <w:spacing w:val="-3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  <w:sz w:val="28"/>
                <w:szCs w:val="28"/>
              </w:rPr>
              <w:t>电子邮箱</w:t>
            </w:r>
          </w:p>
        </w:tc>
        <w:tc>
          <w:tcPr>
            <w:tcW w:w="2287" w:type="dxa"/>
            <w:vAlign w:val="center"/>
          </w:tcPr>
          <w:p w14:paraId="3A41A2BC">
            <w:pPr>
              <w:pStyle w:val="11"/>
              <w:rPr>
                <w:rFonts w:ascii="仿宋_GB2312" w:hAnsi="仿宋_GB2312" w:eastAsia="仿宋_GB2312" w:cs="仿宋_GB2312"/>
                <w:lang w:eastAsia="zh-CN"/>
              </w:rPr>
            </w:pPr>
            <w:r>
              <w:fldChar w:fldCharType="begin"/>
            </w:r>
            <w:r>
              <w:instrText xml:space="preserve"> HYPERLINK "mailto:124357009@qq.com、" </w:instrText>
            </w:r>
            <w:r>
              <w:fldChar w:fldCharType="separate"/>
            </w:r>
            <w:r>
              <w:rPr>
                <w:rStyle w:val="9"/>
                <w:rFonts w:hint="eastAsia" w:ascii="仿宋_GB2312" w:hAnsi="仿宋_GB2312" w:eastAsia="仿宋_GB2312" w:cs="仿宋_GB2312"/>
                <w:lang w:eastAsia="zh-CN"/>
              </w:rPr>
              <w:t>124357009@</w:t>
            </w:r>
            <w:r>
              <w:rPr>
                <w:rStyle w:val="9"/>
                <w:rFonts w:ascii="仿宋_GB2312" w:hAnsi="仿宋_GB2312" w:eastAsia="仿宋_GB2312" w:cs="仿宋_GB2312"/>
                <w:lang w:eastAsia="zh-CN"/>
              </w:rPr>
              <w:t>qq.com</w:t>
            </w:r>
            <w:r>
              <w:rPr>
                <w:rStyle w:val="9"/>
                <w:rFonts w:hint="eastAsia" w:ascii="仿宋_GB2312" w:hAnsi="仿宋_GB2312" w:eastAsia="仿宋_GB2312" w:cs="仿宋_GB2312"/>
                <w:lang w:eastAsia="zh-CN"/>
              </w:rPr>
              <w:t>、</w:t>
            </w:r>
            <w:r>
              <w:rPr>
                <w:rStyle w:val="9"/>
                <w:rFonts w:hint="eastAsia" w:ascii="仿宋_GB2312" w:hAnsi="仿宋_GB2312" w:eastAsia="仿宋_GB2312" w:cs="仿宋_GB2312"/>
                <w:lang w:eastAsia="zh-CN"/>
              </w:rPr>
              <w:fldChar w:fldCharType="end"/>
            </w:r>
          </w:p>
          <w:p w14:paraId="46C2BF52">
            <w:pPr>
              <w:pStyle w:val="11"/>
              <w:rPr>
                <w:rFonts w:ascii="仿宋_GB2312" w:hAnsi="仿宋_GB2312" w:eastAsia="仿宋_GB2312" w:cs="仿宋_GB2312"/>
                <w:lang w:eastAsia="zh-CN"/>
              </w:rPr>
            </w:pPr>
            <w:r>
              <w:rPr>
                <w:rFonts w:ascii="仿宋_GB2312" w:hAnsi="仿宋_GB2312" w:eastAsia="仿宋_GB2312" w:cs="仿宋_GB2312"/>
                <w:lang w:eastAsia="zh-CN"/>
              </w:rPr>
              <w:t>28177236@qq.com</w:t>
            </w:r>
          </w:p>
          <w:p w14:paraId="30334EB7">
            <w:pPr>
              <w:pStyle w:val="11"/>
              <w:rPr>
                <w:rFonts w:ascii="仿宋_GB2312" w:hAnsi="仿宋_GB2312" w:eastAsia="仿宋_GB2312" w:cs="仿宋_GB2312"/>
                <w:lang w:eastAsia="zh-CN"/>
              </w:rPr>
            </w:pPr>
          </w:p>
        </w:tc>
      </w:tr>
      <w:tr w14:paraId="00935364">
        <w:trPr>
          <w:trHeight w:val="1145" w:hRule="atLeast"/>
        </w:trPr>
        <w:tc>
          <w:tcPr>
            <w:tcW w:w="1812" w:type="dxa"/>
            <w:tcBorders>
              <w:top w:val="single" w:color="auto" w:sz="4" w:space="0"/>
            </w:tcBorders>
            <w:vAlign w:val="center"/>
          </w:tcPr>
          <w:p w14:paraId="4A81C044">
            <w:pPr>
              <w:ind w:left="360"/>
              <w:rPr>
                <w:rFonts w:ascii="楷体" w:hAnsi="楷体" w:eastAsia="楷体" w:cs="仿宋_GB2312"/>
                <w:sz w:val="28"/>
                <w:szCs w:val="28"/>
              </w:rPr>
            </w:pPr>
            <w:r>
              <w:rPr>
                <w:rFonts w:hint="eastAsia" w:ascii="楷体" w:hAnsi="楷体" w:eastAsia="楷体" w:cs="仿宋_GB2312"/>
                <w:color w:val="auto"/>
                <w:spacing w:val="-5"/>
                <w:sz w:val="28"/>
                <w:szCs w:val="28"/>
              </w:rPr>
              <w:t>案例名称</w:t>
            </w:r>
          </w:p>
        </w:tc>
        <w:tc>
          <w:tcPr>
            <w:tcW w:w="6847" w:type="dxa"/>
            <w:gridSpan w:val="4"/>
            <w:vAlign w:val="center"/>
          </w:tcPr>
          <w:p w14:paraId="4F4770D3">
            <w:pPr>
              <w:pStyle w:val="11"/>
              <w:jc w:val="center"/>
              <w:rPr>
                <w:rFonts w:ascii="Times New Roman" w:hAnsi="Times New Roman" w:eastAsia="仿宋_GB2312" w:cs="仿宋_GB2312"/>
                <w:sz w:val="28"/>
                <w:szCs w:val="32"/>
                <w:lang w:eastAsia="zh-CN"/>
              </w:rPr>
            </w:pPr>
          </w:p>
          <w:p w14:paraId="7AC9ED27">
            <w:pPr>
              <w:pStyle w:val="11"/>
              <w:jc w:val="center"/>
              <w:rPr>
                <w:rFonts w:cs="仿宋_GB2312" w:asciiTheme="minorEastAsia" w:hAnsiTheme="minorEastAsia" w:eastAsiaTheme="minorEastAsia"/>
                <w:b/>
                <w:sz w:val="30"/>
                <w:szCs w:val="30"/>
                <w:lang w:eastAsia="zh-CN"/>
              </w:rPr>
            </w:pPr>
            <w:r>
              <w:rPr>
                <w:rFonts w:cs="仿宋_GB2312" w:asciiTheme="minorEastAsia" w:hAnsiTheme="minorEastAsia" w:eastAsiaTheme="minorEastAsia"/>
                <w:b/>
                <w:sz w:val="30"/>
                <w:szCs w:val="30"/>
                <w:lang w:eastAsia="zh-CN"/>
              </w:rPr>
              <w:t>AI</w:t>
            </w:r>
            <w:r>
              <w:rPr>
                <w:rFonts w:hint="eastAsia" w:cs="仿宋_GB2312" w:asciiTheme="minorEastAsia" w:hAnsiTheme="minorEastAsia" w:eastAsiaTheme="minorEastAsia"/>
                <w:b/>
                <w:sz w:val="30"/>
                <w:szCs w:val="30"/>
                <w:lang w:eastAsia="zh-CN"/>
              </w:rPr>
              <w:t>赋能构建计算机网络课程教学新样态</w:t>
            </w:r>
          </w:p>
        </w:tc>
      </w:tr>
      <w:tr w14:paraId="02DEE7D7">
        <w:trPr>
          <w:trHeight w:val="868" w:hRule="atLeast"/>
        </w:trPr>
        <w:tc>
          <w:tcPr>
            <w:tcW w:w="1812" w:type="dxa"/>
            <w:vAlign w:val="center"/>
          </w:tcPr>
          <w:p w14:paraId="22A9676E">
            <w:pPr>
              <w:ind w:left="360"/>
              <w:rPr>
                <w:rFonts w:ascii="楷体" w:hAnsi="楷体" w:eastAsia="楷体" w:cs="仿宋_GB2312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仿宋_GB2312"/>
                <w:color w:val="auto"/>
                <w:spacing w:val="-5"/>
                <w:sz w:val="28"/>
                <w:szCs w:val="28"/>
                <w:lang w:eastAsia="zh-CN"/>
              </w:rPr>
              <w:t>案例类别</w:t>
            </w:r>
          </w:p>
        </w:tc>
        <w:tc>
          <w:tcPr>
            <w:tcW w:w="6847" w:type="dxa"/>
            <w:gridSpan w:val="4"/>
            <w:vAlign w:val="center"/>
          </w:tcPr>
          <w:p w14:paraId="36AA9D18">
            <w:pPr>
              <w:pStyle w:val="11"/>
              <w:jc w:val="center"/>
              <w:rPr>
                <w:rFonts w:ascii="宋体" w:hAnsi="宋体" w:eastAsia="宋体" w:cs="仿宋_GB2312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仿宋_GB2312"/>
                <w:b/>
                <w:sz w:val="28"/>
                <w:szCs w:val="28"/>
                <w:lang w:eastAsia="zh-CN"/>
              </w:rPr>
              <w:t>其他教学模式创新场景分类</w:t>
            </w:r>
          </w:p>
        </w:tc>
      </w:tr>
      <w:tr w14:paraId="2ECD188D">
        <w:trPr>
          <w:trHeight w:val="1124" w:hRule="atLeast"/>
        </w:trPr>
        <w:tc>
          <w:tcPr>
            <w:tcW w:w="1812" w:type="dxa"/>
            <w:vAlign w:val="center"/>
          </w:tcPr>
          <w:p w14:paraId="3FC54BD3">
            <w:pPr>
              <w:spacing w:before="296" w:line="216" w:lineRule="auto"/>
              <w:jc w:val="center"/>
              <w:rPr>
                <w:rFonts w:ascii="楷体" w:hAnsi="楷体" w:eastAsia="楷体" w:cs="仿宋_GB2312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仿宋_GB2312"/>
                <w:color w:val="auto"/>
                <w:spacing w:val="-5"/>
                <w:sz w:val="28"/>
                <w:szCs w:val="28"/>
                <w:lang w:eastAsia="zh-CN"/>
              </w:rPr>
              <w:t>案例使用的基础大模型</w:t>
            </w:r>
          </w:p>
        </w:tc>
        <w:tc>
          <w:tcPr>
            <w:tcW w:w="6847" w:type="dxa"/>
            <w:gridSpan w:val="4"/>
            <w:vAlign w:val="center"/>
          </w:tcPr>
          <w:p w14:paraId="74052C53">
            <w:pPr>
              <w:pStyle w:val="11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（案例若使用大模型，请填写模型名称，如文心一言、星火、通义千问、盘古等。）</w:t>
            </w:r>
          </w:p>
          <w:p w14:paraId="54EC6D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72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default" w:ascii="仿宋_GB2312" w:hAnsi="仿宋_GB2312" w:eastAsia="仿宋_GB2312" w:cs="仿宋_GB2312"/>
                <w:snapToGrid w:val="0"/>
                <w:color w:val="00B050"/>
                <w:sz w:val="24"/>
                <w:szCs w:val="24"/>
                <w:lang w:val="en-US" w:eastAsia="zh-CN" w:bidi="ar-SA"/>
              </w:rPr>
              <w:t>DeepSeek-R1-32B大模型</w:t>
            </w:r>
          </w:p>
        </w:tc>
      </w:tr>
      <w:tr w14:paraId="35B07D3C">
        <w:trPr>
          <w:trHeight w:val="889" w:hRule="atLeast"/>
        </w:trPr>
        <w:tc>
          <w:tcPr>
            <w:tcW w:w="1812" w:type="dxa"/>
            <w:vAlign w:val="center"/>
          </w:tcPr>
          <w:p w14:paraId="283BA8B1">
            <w:pPr>
              <w:spacing w:before="296" w:line="216" w:lineRule="auto"/>
              <w:jc w:val="center"/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仿宋_GB2312"/>
                <w:color w:val="auto"/>
                <w:spacing w:val="-5"/>
                <w:sz w:val="28"/>
                <w:szCs w:val="28"/>
                <w:lang w:eastAsia="zh-CN"/>
              </w:rPr>
              <w:t>案例网址</w:t>
            </w:r>
          </w:p>
        </w:tc>
        <w:tc>
          <w:tcPr>
            <w:tcW w:w="6847" w:type="dxa"/>
            <w:gridSpan w:val="4"/>
            <w:vAlign w:val="center"/>
          </w:tcPr>
          <w:p w14:paraId="052389BB">
            <w:pPr>
              <w:pStyle w:val="11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（请填写可以体验案例场景的网址）</w:t>
            </w:r>
          </w:p>
          <w:p w14:paraId="22C16E7E">
            <w:pPr>
              <w:pStyle w:val="11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B050"/>
                <w:sz w:val="24"/>
                <w:szCs w:val="24"/>
                <w:lang w:eastAsia="zh-CN"/>
              </w:rPr>
              <w:t>https://www.xueyinonline.com/detail/249416162</w:t>
            </w:r>
          </w:p>
        </w:tc>
      </w:tr>
      <w:tr w14:paraId="2719AB76">
        <w:tc>
          <w:tcPr>
            <w:tcW w:w="1812" w:type="dxa"/>
            <w:vAlign w:val="center"/>
          </w:tcPr>
          <w:p w14:paraId="0DDF7CBF">
            <w:pPr>
              <w:spacing w:line="600" w:lineRule="exact"/>
              <w:jc w:val="center"/>
              <w:rPr>
                <w:rFonts w:ascii="楷体" w:hAnsi="楷体" w:eastAsia="楷体" w:cs="仿宋_GB2312"/>
                <w:spacing w:val="-5"/>
                <w:sz w:val="28"/>
                <w:szCs w:val="28"/>
              </w:rPr>
            </w:pPr>
            <w:r>
              <w:rPr>
                <w:rFonts w:hint="eastAsia" w:ascii="楷体" w:hAnsi="楷体" w:eastAsia="楷体" w:cs="仿宋_GB2312"/>
                <w:spacing w:val="-5"/>
                <w:sz w:val="28"/>
                <w:szCs w:val="28"/>
              </w:rPr>
              <w:t>案例简介</w:t>
            </w:r>
          </w:p>
          <w:p w14:paraId="52B1871D">
            <w:pPr>
              <w:spacing w:line="600" w:lineRule="exact"/>
              <w:jc w:val="center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仿宋_GB2312"/>
                <w:spacing w:val="-2"/>
                <w:sz w:val="28"/>
                <w:szCs w:val="28"/>
                <w:lang w:eastAsia="zh-CN"/>
              </w:rPr>
              <w:t>（</w:t>
            </w:r>
            <w:r>
              <w:rPr>
                <w:rFonts w:ascii="楷体" w:hAnsi="楷体" w:eastAsia="楷体" w:cs="Times New Roman"/>
                <w:spacing w:val="-2"/>
                <w:sz w:val="28"/>
                <w:szCs w:val="28"/>
                <w:lang w:eastAsia="zh-CN"/>
              </w:rPr>
              <w:t>300</w:t>
            </w:r>
            <w:r>
              <w:rPr>
                <w:rFonts w:hint="eastAsia" w:ascii="楷体" w:hAnsi="楷体" w:eastAsia="楷体" w:cs="仿宋_GB2312"/>
                <w:spacing w:val="-2"/>
                <w:sz w:val="28"/>
                <w:szCs w:val="28"/>
                <w:lang w:eastAsia="zh-CN"/>
              </w:rPr>
              <w:t>字以内）</w:t>
            </w:r>
          </w:p>
        </w:tc>
        <w:tc>
          <w:tcPr>
            <w:tcW w:w="6847" w:type="dxa"/>
            <w:gridSpan w:val="4"/>
            <w:vAlign w:val="center"/>
          </w:tcPr>
          <w:p w14:paraId="5D184CAF">
            <w:pPr>
              <w:spacing w:before="296" w:line="216" w:lineRule="auto"/>
              <w:ind w:left="360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</w:p>
          <w:p w14:paraId="611E16E6">
            <w:pPr>
              <w:spacing w:before="296" w:line="216" w:lineRule="auto"/>
              <w:ind w:left="360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</w:p>
          <w:p w14:paraId="15015B9B">
            <w:pPr>
              <w:spacing w:before="296" w:line="216" w:lineRule="auto"/>
              <w:ind w:left="360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</w:p>
          <w:p w14:paraId="25B618B1">
            <w:pPr>
              <w:spacing w:before="296" w:line="216" w:lineRule="auto"/>
              <w:ind w:left="360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</w:p>
          <w:p w14:paraId="57A09D4A">
            <w:pPr>
              <w:spacing w:before="296" w:line="216" w:lineRule="auto"/>
              <w:ind w:left="360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</w:p>
          <w:p w14:paraId="5AEF3FBA">
            <w:pPr>
              <w:spacing w:before="296" w:line="216" w:lineRule="auto"/>
              <w:ind w:left="360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</w:p>
          <w:p w14:paraId="0B17C25F">
            <w:pPr>
              <w:spacing w:before="296" w:line="216" w:lineRule="auto"/>
              <w:ind w:left="360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</w:p>
          <w:p w14:paraId="135E3BD6">
            <w:pPr>
              <w:spacing w:before="296" w:line="216" w:lineRule="auto"/>
              <w:ind w:left="360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</w:p>
          <w:p w14:paraId="1F4C355B">
            <w:pPr>
              <w:spacing w:before="296" w:line="216" w:lineRule="auto"/>
              <w:ind w:left="360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</w:p>
        </w:tc>
      </w:tr>
    </w:tbl>
    <w:p w14:paraId="156980CF">
      <w:pPr>
        <w:spacing w:line="99" w:lineRule="exact"/>
        <w:rPr>
          <w:rFonts w:ascii="Times New Roman" w:hAnsi="Times New Roman"/>
          <w:sz w:val="8"/>
          <w:szCs w:val="8"/>
          <w:lang w:eastAsia="zh-CN"/>
        </w:rPr>
        <w:sectPr>
          <w:footerReference r:id="rId6" w:type="default"/>
          <w:pgSz w:w="11906" w:h="16839"/>
          <w:pgMar w:top="1429" w:right="1134" w:bottom="1520" w:left="1588" w:header="0" w:footer="1332" w:gutter="0"/>
          <w:cols w:space="720" w:num="1"/>
        </w:sectPr>
      </w:pPr>
    </w:p>
    <w:p w14:paraId="02485E71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  <w:t>二、背景（300 字以内）</w:t>
      </w:r>
      <w:r>
        <w:rPr>
          <w:rFonts w:hint="eastAsia"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【杨兴春</w:t>
      </w:r>
      <w:r>
        <w:rPr>
          <w:rFonts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负责】</w:t>
      </w:r>
    </w:p>
    <w:p w14:paraId="56DF36F2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（重点阐述所解决的高等教育领域痛点或关键问题，简要介绍必要性和实施目标。）</w:t>
      </w:r>
    </w:p>
    <w:p w14:paraId="065D8B1F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近年来，国家大力推进“教育数字化战略行动”，明确提出要建设一批“AI深度融合、价值引领驱动”的智慧课程；同时，课程思政建设不断深化，要求高校课程全面融入立德树人根本任务。在此背景下，《计算机网络》课程作为网络空间安全教育的重要基础课程，肩负着技术育人与价值引领双重使命。然而，传统教学仍面临知识碎片化、实训不足、思政融入浅显等问题，难以适应新技术</w:t>
      </w:r>
      <w:bookmarkStart w:id="3" w:name="_GoBack"/>
      <w:bookmarkEnd w:id="3"/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发展和新型复合型人才培养的现实需求。</w:t>
      </w:r>
    </w:p>
    <w:p w14:paraId="42EC0CD4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本项目依托DeepSeek-R1-32B人工智能技术，结合公安类高校专业背景，构建“智能诊断—个性推送—靶向训练—价值引导”的一体化教学模式，推动教学从“内容传授”向“能力生成”与“价值塑造”转型。项目探索构建AI赋能下的德技融合智慧课程新样态，为公安类高校实现高质量人才培养与课程体系升级提供新路径、注入新动能。</w:t>
      </w:r>
    </w:p>
    <w:p w14:paraId="55710401">
      <w:pPr>
        <w:widowControl w:val="0"/>
        <w:kinsoku/>
        <w:autoSpaceDE/>
        <w:autoSpaceDN/>
        <w:adjustRightInd/>
        <w:snapToGrid/>
        <w:spacing w:line="360" w:lineRule="auto"/>
        <w:ind w:firstLine="560" w:firstLineChars="200"/>
        <w:jc w:val="both"/>
        <w:textAlignment w:val="auto"/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Times New Roman"/>
          <w:snapToGrid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计算机网络课程作为网络安全与执法等专业的核心课程，</w:t>
      </w:r>
      <w:r>
        <w:rPr>
          <w:rFonts w:hint="eastAsia" w:ascii="仿宋" w:hAnsi="仿宋" w:eastAsia="仿宋" w:cs="Segoe UI"/>
          <w:snapToGrid/>
          <w:color w:val="0033CC"/>
          <w:sz w:val="28"/>
          <w:szCs w:val="28"/>
          <w:lang w:eastAsia="zh-CN"/>
        </w:rPr>
        <w:t>内容丰富</w:t>
      </w:r>
      <w:r>
        <w:rPr>
          <w:rFonts w:ascii="仿宋" w:hAnsi="仿宋" w:eastAsia="仿宋" w:cs="Segoe UI"/>
          <w:snapToGrid/>
          <w:color w:val="0033CC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Segoe UI"/>
          <w:snapToGrid/>
          <w:color w:val="0033CC"/>
          <w:sz w:val="28"/>
          <w:szCs w:val="28"/>
          <w:lang w:eastAsia="zh-CN"/>
        </w:rPr>
        <w:t>实践性</w:t>
      </w:r>
      <w:r>
        <w:rPr>
          <w:rFonts w:ascii="仿宋" w:hAnsi="仿宋" w:eastAsia="仿宋" w:cs="Segoe UI"/>
          <w:snapToGrid/>
          <w:color w:val="0033CC"/>
          <w:sz w:val="28"/>
          <w:szCs w:val="28"/>
          <w:lang w:eastAsia="zh-CN"/>
        </w:rPr>
        <w:t>要求高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。</w:t>
      </w:r>
      <w:bookmarkStart w:id="0" w:name="OLE_LINK6"/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传统的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教学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方式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存在以下痛点：难以实现真正的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个性化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教学；难以高效帮助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学生建立起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课程的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整体知识框架，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网络理论与网络工程实践难以有机结合；实验教</w:t>
      </w:r>
      <w:r>
        <w:rPr>
          <w:rFonts w:hint="eastAsia" w:ascii="仿宋" w:hAnsi="仿宋" w:eastAsia="仿宋" w:cs="Times New Roman"/>
          <w:snapToGrid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学</w:t>
      </w:r>
      <w:r>
        <w:rPr>
          <w:rFonts w:ascii="仿宋" w:hAnsi="仿宋" w:eastAsia="仿宋" w:cs="Times New Roman"/>
          <w:snapToGrid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难以模拟复杂的网络</w:t>
      </w:r>
      <w:r>
        <w:rPr>
          <w:rFonts w:hint="eastAsia" w:ascii="仿宋" w:hAnsi="仿宋" w:eastAsia="仿宋" w:cs="Times New Roman"/>
          <w:snapToGrid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环境</w:t>
      </w:r>
      <w:r>
        <w:rPr>
          <w:rFonts w:ascii="仿宋" w:hAnsi="仿宋" w:eastAsia="仿宋" w:cs="Times New Roman"/>
          <w:snapToGrid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，学生</w:t>
      </w:r>
      <w:r>
        <w:rPr>
          <w:rFonts w:hint="eastAsia" w:ascii="仿宋" w:hAnsi="仿宋" w:eastAsia="仿宋" w:cs="Times New Roman"/>
          <w:snapToGrid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的工程实践能力无法</w:t>
      </w:r>
      <w:r>
        <w:rPr>
          <w:rFonts w:ascii="仿宋" w:hAnsi="仿宋" w:eastAsia="仿宋" w:cs="Times New Roman"/>
          <w:snapToGrid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得到充分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锻炼；教师花费大量时间用于编写和批阅平时作业、实验报告等，教学效率低。</w:t>
      </w:r>
    </w:p>
    <w:bookmarkEnd w:id="0"/>
    <w:p w14:paraId="48F4BADF">
      <w:pPr>
        <w:widowControl w:val="0"/>
        <w:kinsoku/>
        <w:autoSpaceDE/>
        <w:autoSpaceDN/>
        <w:adjustRightInd/>
        <w:snapToGrid/>
        <w:spacing w:line="360" w:lineRule="auto"/>
        <w:ind w:firstLine="560" w:firstLineChars="200"/>
        <w:jc w:val="both"/>
        <w:textAlignment w:val="auto"/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全球科技、人才等竞争正在加剧，为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响应国家</w:t>
      </w:r>
      <w:bookmarkStart w:id="1" w:name="OLE_LINK1"/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教育数字化战略</w:t>
      </w:r>
      <w:bookmarkEnd w:id="1"/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号召，顺应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AI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技术发展对人才培养提出的新要求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AI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深度融入计算机网络课程教学，已成为提升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网络课程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教学质量、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加快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培养高素质创新人才的必然趋势和迫切需求。</w:t>
      </w:r>
    </w:p>
    <w:p w14:paraId="1D7E9849">
      <w:pPr>
        <w:widowControl w:val="0"/>
        <w:kinsoku/>
        <w:autoSpaceDE/>
        <w:autoSpaceDN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本案例旨在构建基于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AI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的计算机网络课程教学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新样态，实现：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AI赋能的可视化、交互式模拟和智能虚拟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教学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平台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个性化、自适应的学习体验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，以及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辅助教师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批改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作业和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分析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学习效果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等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最终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形成可推广的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计算机网络课程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教学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新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范式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50199255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  <w:t>三、案例实施情况（1000 字以内）</w:t>
      </w:r>
      <w:r>
        <w:rPr>
          <w:rFonts w:hint="eastAsia"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【王刚</w:t>
      </w:r>
      <w:r>
        <w:rPr>
          <w:rFonts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负责</w:t>
      </w:r>
      <w:r>
        <w:rPr>
          <w:rFonts w:hint="eastAsia"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 xml:space="preserve"> 田</w:t>
      </w:r>
      <w:r>
        <w:rPr>
          <w:rFonts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莹协助】</w:t>
      </w:r>
    </w:p>
    <w:p w14:paraId="06C70964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包括但不限于需求分析、技术研发或个性化定制、应用优化等方面所做的探索实践。可图文并茂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。</w:t>
      </w:r>
    </w:p>
    <w:p w14:paraId="0CA7F2AA">
      <w:pP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br w:type="page"/>
      </w:r>
    </w:p>
    <w:p w14:paraId="5A92BAE8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《计算机网络》课程立足国家“教育数字化战略行动”和“课程思政”政策导向，依托DeepSeek-R1-32B人工智能技术，以“智能诊断—个性推送—靶向训练—价值引导”为核心路径，构建AI深度赋能的新型教学模式。项目聚焦“课程目标达成—能力素养提升—思政价值内化”的融合成效，探索打造“智能驱动、自适应发展、德技并重”的计算机网络智慧课程样态，为公安类院校网络安全人才培养提供了可复制、可推广的范式样本。</w:t>
      </w:r>
    </w:p>
    <w:p w14:paraId="647950A0">
      <w:pP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br w:type="page"/>
      </w:r>
    </w:p>
    <w:p w14:paraId="212AD863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一、AI赋能的课程思政协同育人机制</w:t>
      </w:r>
    </w:p>
    <w:p w14:paraId="0B41F64A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项目基于教学大纲中“网络安全”“IPv6”“TCP/IP协议”等重点模块，结合大模型的深度语义分析能力，构建面向政治安全、科技强国、法治意识等主题的“知识点-价值点-能力点”三位一体能力图谱。</w:t>
      </w:r>
    </w:p>
    <w:p w14:paraId="7F6AA799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50800</wp:posOffset>
            </wp:positionH>
            <wp:positionV relativeFrom="page">
              <wp:posOffset>2946400</wp:posOffset>
            </wp:positionV>
            <wp:extent cx="5339715" cy="3258820"/>
            <wp:effectExtent l="0" t="0" r="19685" b="17780"/>
            <wp:wrapTopAndBottom/>
            <wp:docPr id="12" name="图片 12" descr="截屏2025-06-17 01.26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5-06-17 01.26.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课程整体实现“技术知识-政治认知-职业道德”的协同式教学，立足公安教育实际，深化“大思政课”教学体系构建。</w:t>
      </w:r>
    </w:p>
    <w:p w14:paraId="4E477F37">
      <w:pP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br w:type="page"/>
      </w:r>
    </w:p>
    <w:p w14:paraId="29AA7979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二、AI驱动的个性化学习路径与能力迁移体系</w:t>
      </w:r>
    </w:p>
    <w:p w14:paraId="73138DF5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项目以学生行为数据为基础（教学视频学习进度、章节测试结果、在线活跃度等），构建“知识点—能力维度—行为表现”动态能力图谱，实现AI自动识别学习瓶颈、精准推送资源与任务路径。</w:t>
      </w:r>
    </w:p>
    <w:p w14:paraId="0F990845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教师可基于平台反馈热力图实时调整教学设计，精准施策，推动学生能力由知识性理解向工程性应用转化。</w:t>
      </w:r>
    </w:p>
    <w:p w14:paraId="41174AD9">
      <w:pP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-114300</wp:posOffset>
            </wp:positionH>
            <wp:positionV relativeFrom="page">
              <wp:posOffset>3588385</wp:posOffset>
            </wp:positionV>
            <wp:extent cx="5334635" cy="2272030"/>
            <wp:effectExtent l="0" t="0" r="24765" b="13970"/>
            <wp:wrapTopAndBottom/>
            <wp:docPr id="11" name="图片 11" descr="截屏2025-06-17 01.12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5-06-17 01.12.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br w:type="page"/>
      </w:r>
    </w:p>
    <w:p w14:paraId="1849590B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三、智能问答系统融合德育引导机制</w:t>
      </w:r>
    </w:p>
    <w:p w14:paraId="7B1BDB33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借助深度语言模型部署的智能问答系统，学生可通过自然语言随时提出学习问题，系统不仅能回答技术问题，也可延伸至“华为事件中的网络技术自主”“IPv6部署与国际博弈”等德育主题，实现思政内容的“润物无声”式嵌入。</w:t>
      </w:r>
    </w:p>
    <w:p w14:paraId="64D262E2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64135</wp:posOffset>
            </wp:positionH>
            <wp:positionV relativeFrom="page">
              <wp:posOffset>5676265</wp:posOffset>
            </wp:positionV>
            <wp:extent cx="5332730" cy="2950210"/>
            <wp:effectExtent l="0" t="0" r="1270" b="21590"/>
            <wp:wrapTopAndBottom/>
            <wp:docPr id="2" name="图片 2" descr="截屏2025-06-17 00.14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06-17 00.14.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25400</wp:posOffset>
            </wp:positionH>
            <wp:positionV relativeFrom="page">
              <wp:posOffset>2972435</wp:posOffset>
            </wp:positionV>
            <wp:extent cx="5340350" cy="2562860"/>
            <wp:effectExtent l="0" t="0" r="19050" b="2540"/>
            <wp:wrapTopAndBottom/>
            <wp:docPr id="3" name="图片 3" descr="/Users/liushuman/Library/Containers/com.kingsoft.wpsoffice.mac/Data/tmp/photoeditapp/2025061700262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Users/liushuman/Library/Containers/com.kingsoft.wpsoffice.mac/Data/tmp/photoeditapp/20250617002624/temp.pngtemp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教师端通过“话题热度排行”“问题情绪监测”等功能，</w:t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-38100</wp:posOffset>
            </wp:positionH>
            <wp:positionV relativeFrom="page">
              <wp:posOffset>2108200</wp:posOffset>
            </wp:positionV>
            <wp:extent cx="5320665" cy="2651125"/>
            <wp:effectExtent l="0" t="0" r="13335" b="15875"/>
            <wp:wrapTopAndBottom/>
            <wp:docPr id="4" name="图片 4" descr="截屏2025-06-17 00.33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5-06-17 00.33.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掌握学生兴趣与倾向，提前设置“技术—伦理—法治”主题探究任务，结合静态路由、ACL配置等实训环节，组织学生开展案例式辩论，深化育人效果。</w:t>
      </w:r>
    </w:p>
    <w:p w14:paraId="222B9575">
      <w:pP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br w:type="page"/>
      </w:r>
    </w:p>
    <w:p w14:paraId="3D361AC8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四、重构资源体系与构建三类案例图谱</w:t>
      </w:r>
    </w:p>
    <w:p w14:paraId="2A9776C5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课程围绕“理论—实训—思政”一体化目标，构建三类具有针对性和层级性的案例图谱体系：</w:t>
      </w:r>
    </w:p>
    <w:p w14:paraId="0764542B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•</w:t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创新类案例</w:t>
      </w:r>
    </w:p>
    <w:p w14:paraId="531AF24C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聚焦前沿技术或复杂网络环境中的典型问题，突出跨模块整合与策略创新，旨在引导学生在掌握基础知识的前提下，开展高阶任务，提升系统性思维与工程创新能力。</w:t>
      </w:r>
    </w:p>
    <w:p w14:paraId="74123EB8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•</w:t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易错类案例</w:t>
      </w:r>
    </w:p>
    <w:p w14:paraId="1B07E475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面向实训过程中的高频错误点，如ACL匹配顺序、VLSM划分逻辑等，采用问题导向设计，帮助学生识别认知盲区、强化规范操作，提升故障诊断与自我纠错能力。</w:t>
      </w:r>
    </w:p>
    <w:p w14:paraId="22328F71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•</w:t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探究类案例</w:t>
      </w:r>
    </w:p>
    <w:p w14:paraId="0E9A1269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13335</wp:posOffset>
            </wp:positionH>
            <wp:positionV relativeFrom="page">
              <wp:posOffset>6642100</wp:posOffset>
            </wp:positionV>
            <wp:extent cx="5337175" cy="2649220"/>
            <wp:effectExtent l="0" t="0" r="22225" b="17780"/>
            <wp:wrapTopAndBottom/>
            <wp:docPr id="5" name="图片 5" descr="截屏2025-06-17 01.05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5-06-17 01.05.4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717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聚焦真实或拟真场景下的开放性问题，鼓励学生基于需求自主设计方案并进行配置验证，强化问题分析与综合判断能力，推动学生从“掌握知识”向“解决问题”转化。</w:t>
      </w:r>
    </w:p>
    <w:p w14:paraId="75A5373D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配套资源包括课程微视频、AI导学、时政资料摘要与思政标签图谱等，构建多元化、任务驱动、可持续演化的资源支持体系，助力教学提质与能力迁移。</w:t>
      </w:r>
    </w:p>
    <w:p w14:paraId="6424F8D1">
      <w:pP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br w:type="page"/>
      </w:r>
    </w:p>
    <w:p w14:paraId="00ED4933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五、数据闭环驱动下的教学优化与实效评价</w:t>
      </w:r>
    </w:p>
    <w:p w14:paraId="0E68873E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平台构建完整的“数据采集—行为分析—智能推送—学习反馈—教学干预”五步闭环机制，开展精准化、差异化教学干预。</w:t>
      </w:r>
    </w:p>
    <w:p w14:paraId="1FA1D92E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截至目前，平台已覆盖2022、2023两个年级共XX余名学生，教学效果显著：</w:t>
      </w:r>
    </w:p>
    <w:p w14:paraId="5801F5FD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•</w:t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“网络工程师”资格考试通过率较2021年提升XX%；</w:t>
      </w:r>
    </w:p>
    <w:p w14:paraId="0C01DCF6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•</w:t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学生在ACL模块平均得分提升19%；</w:t>
      </w:r>
    </w:p>
    <w:p w14:paraId="55808B09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•</w:t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期末调查中“课程学习效率显著提升”反馈占比达93.8%。</w:t>
      </w:r>
    </w:p>
    <w:p w14:paraId="4F19679B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本项目在国家级混合式一流课程的建设基础上，进一步实现了从“内容驱动”到“能力驱动”再到“价值驱动”的跃升，推动课程形态从“融合式优质课程”迈向“人工智能深度赋能的智慧课程”，为中国特色数字教育变革提供了范式样本。</w:t>
      </w:r>
    </w:p>
    <w:p w14:paraId="50C2E60B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</w:p>
    <w:p w14:paraId="0B8B641C">
      <w:pPr>
        <w:widowControl w:val="0"/>
        <w:kinsoku/>
        <w:autoSpaceDE/>
        <w:autoSpaceDN/>
        <w:adjustRightInd/>
        <w:snapToGrid/>
        <w:spacing w:line="600" w:lineRule="exact"/>
        <w:ind w:firstLine="643" w:firstLineChars="200"/>
        <w:jc w:val="both"/>
        <w:textAlignment w:val="auto"/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 xml:space="preserve">1. </w:t>
      </w:r>
      <w:r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需求分析：人工智能驱动的教育需求与挑战</w:t>
      </w:r>
    </w:p>
    <w:p w14:paraId="27D18012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人工智能在计算机网络课程中的应用，首先要解决的是教育资源的优化与个性化学习需求的问题。具体而言，学生在学习过程中存在以下需求：</w:t>
      </w:r>
    </w:p>
    <w:p w14:paraId="1782B22B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个性化学习路径：每个学生的学习进度和能力不同，需要根据个人情况提供量身定制的学习内容和辅导。</w:t>
      </w:r>
    </w:p>
    <w:p w14:paraId="336ED647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实时反馈与互动：学生希望能及时获得学习进度、错误纠正等反馈，提升学习效率。</w:t>
      </w:r>
    </w:p>
    <w:p w14:paraId="7BAEBBAB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实践能力提升：计算机网络课程往往强调操作技能，学生需要在理论学习的基础上进行大量的实践，如何高效地进行技能训练是一个难题。</w:t>
      </w:r>
    </w:p>
    <w:p w14:paraId="44245D5C">
      <w:pPr>
        <w:widowControl w:val="0"/>
        <w:kinsoku/>
        <w:autoSpaceDE/>
        <w:autoSpaceDN/>
        <w:adjustRightInd/>
        <w:snapToGrid/>
        <w:spacing w:line="600" w:lineRule="exact"/>
        <w:ind w:firstLine="643" w:firstLineChars="200"/>
        <w:jc w:val="both"/>
        <w:textAlignment w:val="auto"/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 xml:space="preserve">2. </w:t>
      </w:r>
      <w:r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个性化定制：满足不同学习需求</w:t>
      </w:r>
    </w:p>
    <w:p w14:paraId="7632359D">
      <w:pPr>
        <w:widowControl w:val="0"/>
        <w:kinsoku/>
        <w:autoSpaceDE/>
        <w:autoSpaceDN/>
        <w:adjustRightInd/>
        <w:snapToGrid/>
        <w:spacing w:line="600" w:lineRule="exact"/>
        <w:ind w:firstLine="643" w:firstLineChars="200"/>
        <w:jc w:val="both"/>
        <w:textAlignment w:val="auto"/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 xml:space="preserve">2.1 </w:t>
      </w:r>
      <w:r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学习数据分析与个性化推荐</w:t>
      </w:r>
    </w:p>
    <w:p w14:paraId="11E81400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AI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通过对学生学习数据的分析，能够对其学习进度、学习习惯、薄弱环节等进行全面评估，从而为学生定制个性化的学习方案。例如，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AI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系统能够根据学生对理论知识的掌握程度，自动推荐适合的拓展学习资料、个性化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作业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等。而在学生完成任务后，系统还能根据学生的表现及时调整学习计划，确保学生能够在最短时间内掌握最重要的知识。</w:t>
      </w:r>
    </w:p>
    <w:p w14:paraId="6C79D1FE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 xml:space="preserve">2.2 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智能辅导与在线答疑</w:t>
      </w:r>
    </w:p>
    <w:p w14:paraId="75493FE7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AI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智能辅导系统则能够在课后为学生提供个性化的答疑服务，通过自然语言处理技术，解答学生在学习过程中遇到的各种问题，并给出相应的学习建议。</w:t>
      </w:r>
      <w:r>
        <w:rPr>
          <w:rFonts w:hint="eastAsia"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【</w:t>
      </w:r>
      <w:r>
        <w:rPr>
          <w:rFonts w:hint="eastAsia" w:ascii="Times New Roman" w:hAnsi="Times New Roman" w:eastAsia="仿宋" w:cs="Times New Roman"/>
          <w:b/>
          <w:snapToGrid/>
          <w:color w:val="FF0000"/>
          <w:kern w:val="2"/>
          <w:sz w:val="32"/>
          <w:szCs w:val="32"/>
          <w:lang w:eastAsia="zh-CN"/>
        </w:rPr>
        <w:t>+截图</w:t>
      </w:r>
      <w:r>
        <w:rPr>
          <w:rFonts w:hint="eastAsia"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+电子教材、教案、</w:t>
      </w:r>
      <w:r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PPT</w:t>
      </w:r>
      <w:r>
        <w:rPr>
          <w:rFonts w:hint="eastAsia"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、再加上课</w:t>
      </w:r>
      <w:r>
        <w:rPr>
          <w:snapToGrid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265430</wp:posOffset>
            </wp:positionH>
            <wp:positionV relativeFrom="paragraph">
              <wp:posOffset>412750</wp:posOffset>
            </wp:positionV>
            <wp:extent cx="5904230" cy="3196590"/>
            <wp:effectExtent l="0" t="0" r="1270" b="381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程本身的视频资料】</w:t>
      </w:r>
    </w:p>
    <w:p w14:paraId="247C15CC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i/>
          <w:snapToGrid/>
          <w:kern w:val="2"/>
          <w:sz w:val="32"/>
          <w:szCs w:val="32"/>
          <w:lang w:eastAsia="zh-CN"/>
        </w:rPr>
      </w:pPr>
    </w:p>
    <w:p w14:paraId="129F96F0">
      <w:pPr>
        <w:widowControl w:val="0"/>
        <w:kinsoku/>
        <w:autoSpaceDE/>
        <w:autoSpaceDN/>
        <w:adjustRightInd/>
        <w:snapToGrid/>
        <w:spacing w:line="600" w:lineRule="exact"/>
        <w:ind w:firstLine="643" w:firstLineChars="200"/>
        <w:jc w:val="both"/>
        <w:textAlignment w:val="auto"/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3.</w:t>
      </w:r>
      <w:r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应用优化：持续迭代与效果提升</w:t>
      </w:r>
      <w:r>
        <w:rPr>
          <w:rFonts w:hint="eastAsia" w:ascii="Times New Roman" w:hAnsi="Times New Roman" w:eastAsia="仿宋" w:cs="Times New Roman"/>
          <w:b/>
          <w:i/>
          <w:snapToGrid/>
          <w:color w:val="FF0000"/>
          <w:kern w:val="2"/>
          <w:sz w:val="32"/>
          <w:szCs w:val="32"/>
          <w:lang w:eastAsia="zh-CN"/>
        </w:rPr>
        <w:t>（做了</w:t>
      </w:r>
      <w:r>
        <w:rPr>
          <w:rFonts w:ascii="Times New Roman" w:hAnsi="Times New Roman" w:eastAsia="仿宋" w:cs="Times New Roman"/>
          <w:b/>
          <w:i/>
          <w:snapToGrid/>
          <w:color w:val="FF0000"/>
          <w:kern w:val="2"/>
          <w:sz w:val="32"/>
          <w:szCs w:val="32"/>
          <w:lang w:eastAsia="zh-CN"/>
        </w:rPr>
        <w:t>哪些？）</w:t>
      </w:r>
    </w:p>
    <w:p w14:paraId="581AEEBD">
      <w:pPr>
        <w:spacing w:line="600" w:lineRule="exact"/>
        <w:ind w:firstLine="561" w:firstLineChars="200"/>
        <w:rPr>
          <w:rFonts w:hint="eastAsia" w:ascii="Times New Roman" w:hAnsi="Times New Roman"/>
          <w:sz w:val="36"/>
          <w:szCs w:val="32"/>
          <w:lang w:eastAsia="zh-CN"/>
        </w:rPr>
      </w:pPr>
      <w:r>
        <w:rPr>
          <w:rFonts w:hint="eastAsia" w:ascii="Times New Roman" w:hAnsi="Times New Roman" w:eastAsiaTheme="minorEastAsia"/>
          <w:b/>
          <w:color w:val="FF0000"/>
          <w:sz w:val="28"/>
          <w:lang w:eastAsia="zh-CN"/>
        </w:rPr>
        <w:t>训练</w:t>
      </w:r>
      <w:r>
        <w:rPr>
          <w:rFonts w:ascii="Times New Roman" w:hAnsi="Times New Roman" w:eastAsiaTheme="minorEastAsia"/>
          <w:b/>
          <w:color w:val="FF0000"/>
          <w:sz w:val="28"/>
          <w:lang w:eastAsia="zh-CN"/>
        </w:rPr>
        <w:t>智能体</w:t>
      </w:r>
      <w:r>
        <w:rPr>
          <w:rFonts w:hint="eastAsia" w:ascii="Times New Roman" w:hAnsi="Times New Roman" w:eastAsiaTheme="minorEastAsia"/>
          <w:b/>
          <w:color w:val="FF0000"/>
          <w:sz w:val="28"/>
          <w:lang w:eastAsia="zh-CN"/>
        </w:rPr>
        <w:t>，</w:t>
      </w:r>
      <w:r>
        <w:rPr>
          <w:rFonts w:ascii="Times New Roman" w:hAnsi="Times New Roman" w:eastAsiaTheme="minorEastAsia"/>
          <w:b/>
          <w:color w:val="FF0000"/>
          <w:sz w:val="28"/>
          <w:lang w:eastAsia="zh-CN"/>
        </w:rPr>
        <w:t>融入了</w:t>
      </w:r>
      <w:r>
        <w:rPr>
          <w:rFonts w:hint="eastAsia" w:ascii="Times New Roman" w:hAnsi="Times New Roman" w:eastAsiaTheme="minorEastAsia"/>
          <w:b/>
          <w:color w:val="FF0000"/>
          <w:sz w:val="28"/>
          <w:lang w:eastAsia="zh-CN"/>
        </w:rPr>
        <w:t>哪些</w:t>
      </w:r>
      <w:r>
        <w:rPr>
          <w:rFonts w:ascii="Times New Roman" w:hAnsi="Times New Roman" w:eastAsiaTheme="minorEastAsia"/>
          <w:b/>
          <w:color w:val="FF0000"/>
          <w:sz w:val="28"/>
          <w:lang w:eastAsia="zh-CN"/>
        </w:rPr>
        <w:t>课程思政</w:t>
      </w:r>
      <w:r>
        <w:rPr>
          <w:rFonts w:hint="eastAsia" w:ascii="Times New Roman" w:hAnsi="Times New Roman" w:eastAsiaTheme="minorEastAsia"/>
          <w:b/>
          <w:color w:val="FF0000"/>
          <w:sz w:val="28"/>
          <w:lang w:eastAsia="zh-CN"/>
        </w:rPr>
        <w:t>？</w:t>
      </w:r>
    </w:p>
    <w:p w14:paraId="3D6E7926">
      <w:pPr>
        <w:spacing w:line="244" w:lineRule="auto"/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</w:pP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+案例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图谱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，较难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的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高级ACL部分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，做了案例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图谱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。</w:t>
      </w:r>
    </w:p>
    <w:p w14:paraId="7CF74FAD">
      <w:pPr>
        <w:widowControl w:val="0"/>
        <w:kinsoku/>
        <w:autoSpaceDE/>
        <w:autoSpaceDN/>
        <w:adjustRightInd/>
        <w:snapToGrid/>
        <w:spacing w:line="600" w:lineRule="exact"/>
        <w:ind w:firstLine="643" w:firstLineChars="200"/>
        <w:jc w:val="both"/>
        <w:textAlignment w:val="auto"/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 xml:space="preserve">3.1 </w:t>
      </w:r>
      <w:r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实时数据监控与优化</w:t>
      </w:r>
    </w:p>
    <w:p w14:paraId="1AFF65A4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通过数据采集与分析，教学平台能够监控到学生的学习情况、互动情况以及系统运行状态，及时发现潜在问题并进行调整。比如，</w:t>
      </w:r>
      <w:r>
        <w:rPr>
          <w:rFonts w:hint="eastAsia" w:ascii="Times New Roman" w:hAnsi="Times New Roman" w:eastAsia="仿宋" w:cs="Times New Roman"/>
          <w:snapToGrid/>
          <w:color w:val="0033CC"/>
          <w:kern w:val="2"/>
          <w:sz w:val="32"/>
          <w:szCs w:val="32"/>
          <w:lang w:eastAsia="zh-CN"/>
        </w:rPr>
        <w:t>如果发现某一模块的学习效果不佳，则系统推送更多的学习资源，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从而提升教学质量和学生的学习效果。</w:t>
      </w:r>
    </w:p>
    <w:p w14:paraId="516B7386">
      <w:pPr>
        <w:widowControl w:val="0"/>
        <w:kinsoku/>
        <w:autoSpaceDE/>
        <w:autoSpaceDN/>
        <w:adjustRightInd/>
        <w:snapToGrid/>
        <w:spacing w:line="600" w:lineRule="exact"/>
        <w:ind w:firstLine="643" w:firstLineChars="200"/>
        <w:jc w:val="both"/>
        <w:textAlignment w:val="auto"/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 xml:space="preserve">3.2 </w:t>
      </w:r>
      <w:r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教学模式的灵活调整</w:t>
      </w:r>
    </w:p>
    <w:p w14:paraId="1E44F60D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在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AI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赋能教学的过程中，教学模式的灵活调整也显得尤为重要。例如，课程内容、教学方式的优化，依赖于对教学效果的实时评估。基于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AI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的教学平台可以通过学习分析，优化课程内容的呈现方式（如图文结合、视频教程等），并通过互动增强学生的课堂体验。</w:t>
      </w:r>
    </w:p>
    <w:p w14:paraId="121176A7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通过人工智能技术的引入，计算机网络课程的教学方式、教学手段和教学效果得到了很大提升，2024年、2025年网安专业2022级、2023级考取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国家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网络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技术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和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网络工程师证书的通过率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比2021级分别</w:t>
      </w:r>
      <w:r>
        <w:rPr>
          <w:rFonts w:ascii="Times New Roman" w:hAnsi="Times New Roman" w:eastAsia="仿宋" w:cs="Times New Roman"/>
          <w:b/>
          <w:snapToGrid/>
          <w:color w:val="FF0000"/>
          <w:kern w:val="2"/>
          <w:sz w:val="32"/>
          <w:szCs w:val="32"/>
          <w:lang w:eastAsia="zh-CN"/>
        </w:rPr>
        <w:t>提高了</w:t>
      </w:r>
      <w:r>
        <w:rPr>
          <w:rFonts w:hint="eastAsia" w:ascii="Times New Roman" w:hAnsi="Times New Roman" w:eastAsia="仿宋" w:cs="Times New Roman"/>
          <w:b/>
          <w:snapToGrid/>
          <w:color w:val="FF0000"/>
          <w:kern w:val="2"/>
          <w:sz w:val="32"/>
          <w:szCs w:val="32"/>
          <w:lang w:eastAsia="zh-CN"/>
        </w:rPr>
        <w:t>XX</w:t>
      </w:r>
      <w:r>
        <w:rPr>
          <w:rFonts w:ascii="Times New Roman" w:hAnsi="Times New Roman" w:eastAsia="仿宋" w:cs="Times New Roman"/>
          <w:b/>
          <w:snapToGrid/>
          <w:color w:val="FF0000"/>
          <w:kern w:val="2"/>
          <w:sz w:val="32"/>
          <w:szCs w:val="32"/>
          <w:lang w:eastAsia="zh-CN"/>
        </w:rPr>
        <w:t>、YY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。未来，随着人工智能技术的不断发展，计算机网络课程的教学模式将不断创新，助力培养更多高素质的网络技术人才。</w:t>
      </w:r>
    </w:p>
    <w:p w14:paraId="0294906E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068DAB8C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5E69B552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  <w:t>案例创新突破（1000 字以内）</w:t>
      </w:r>
      <w:r>
        <w:rPr>
          <w:rFonts w:hint="eastAsia"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【超星</w:t>
      </w:r>
      <w:r>
        <w:rPr>
          <w:rFonts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公司</w:t>
      </w:r>
      <w:r>
        <w:rPr>
          <w:rFonts w:hint="eastAsia"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张</w:t>
      </w:r>
      <w:r>
        <w:rPr>
          <w:rFonts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剑】</w:t>
      </w:r>
    </w:p>
    <w:p w14:paraId="6685111E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本项目以“教育数字化战略行动”为契机，聚焦人工智能与教育深度融合，围绕公安类高校对高素质网络安全人才培养的核心需求，在教学模式、技术工具与育人机制等方面实现了系统性突破，构建了“智能驱动、自适应发展、德技融合”的计算机网络课程新范式。</w:t>
      </w:r>
    </w:p>
    <w:p w14:paraId="2FFD780C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一、从内容驱动到能力驱动的教学模式重构</w:t>
      </w:r>
    </w:p>
    <w:p w14:paraId="4556F184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项目摒弃传统以“教师讲授—学生被动接受”为主的教学模式，转向以学习者为中心的能力导向路径。基于教学大纲核心模块，构建“知识点—能力点—行为表现”三维能力图谱，结合学生行为数据，动态识别学习瓶颈，推送个性化学习资源与任务路径，实现教学内容、方式与评价的全链条重构。</w:t>
      </w:r>
    </w:p>
    <w:p w14:paraId="5350838B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二、AI深度介入教学全过程，构建智能学习系统</w:t>
      </w:r>
    </w:p>
    <w:p w14:paraId="0B7B7C5E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项目创新性引入DeepSeek-R1-32B大型语言模型，构建课程专属智能学习体。系统具备智能问答、语义理解、学情分析与教学推荐等功能，实现学习过程“可追踪、可反馈、可迭代”。例如，学生在学习ACL配置模块时，AI可识别其在匹配顺序上的错误行为，及时推送“配置顺序演示模拟器”“易错点解析微课”等靶向资源，真正做到“因需而教、因学施策”。</w:t>
      </w:r>
    </w:p>
    <w:p w14:paraId="52FA76EF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三、思政融入与技术教学融合创新机制</w:t>
      </w:r>
    </w:p>
    <w:p w14:paraId="5A9898B2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项目将“大思政课”理念贯穿教学全过程，构建技术知识与价值引导并重的课程育人机制。结合IPv6国家战略、网络主权、5G与北斗等主题，在IP地址规划、网络协议配置等教学任务中设定“技术—伦理—法治”探究议题，引导学生在实践中探讨技术自主、法治底线、网络安全等重大命题，增强政治认同与职业使命感。</w:t>
      </w:r>
    </w:p>
    <w:p w14:paraId="07F6CFC5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四、构建多层级案例图谱，支撑全场景能力培养</w:t>
      </w:r>
    </w:p>
    <w:p w14:paraId="38081E9D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课程设计三类典型案例图谱体系，覆盖知识学习、技能应用与综合探究多个维度。创新类案例推动学生在复杂网络场景中开展协议协同与部署优化；易错类案例聚焦配置误区与概念盲点，强化诊断与纠错能力；探究类案例则面向真实业务情境，培养学生从需求分析到方案验证的全过程实践能力。通过案例驱动，实现“学—练—用—悟”的渐进式能力迁移。</w:t>
      </w:r>
    </w:p>
    <w:p w14:paraId="5F492087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五、平台闭环驱动，支持教学精准调控与智能决策</w:t>
      </w:r>
    </w:p>
    <w:p w14:paraId="6ED9B75C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项目开发的教学平台构建完整“数据采集—行为分析—资源推送—学习反馈—教学干预”闭环机制，教师可通过可视化看板实时掌握学生“能力画像”“知识掌握率”“任务完成情况”，实现精准化、差异化教学指导。平台数据同时反哺课程设计与资源优化，实现内容更新与教学策略的持续进化。</w:t>
      </w:r>
    </w:p>
    <w:p w14:paraId="4B25D99A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总体而言，项目不仅打破了传统计算机网络课程中“内容孤岛”“反馈迟缓”“思政边缘化”等顽疾，更提供了人工智能技术与价值引领深度融合的可落地路径，为公安类高校构建中国特色智慧课程体系提供了可推广、可复制的实践样本。</w:t>
      </w:r>
    </w:p>
    <w:p w14:paraId="28CF1E89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;（一）主要创新内容。（重点介绍在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教育教学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模式与技术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应用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等方面的创新情况。）</w:t>
      </w:r>
    </w:p>
    <w:p w14:paraId="3B7217C3">
      <w:pPr>
        <w:pStyle w:val="6"/>
        <w:shd w:val="clear" w:color="auto" w:fill="FFFFFF"/>
        <w:spacing w:beforeAutospacing="0" w:after="105" w:afterAutospacing="0"/>
        <w:ind w:firstLine="640" w:firstLineChars="200"/>
        <w:rPr>
          <w:rFonts w:ascii="Times New Roman" w:hAnsi="Times New Roman" w:eastAsia="仿宋"/>
          <w:snapToGrid/>
          <w:kern w:val="2"/>
          <w:sz w:val="32"/>
          <w:szCs w:val="32"/>
        </w:rPr>
      </w:pPr>
      <w:r>
        <w:rPr>
          <w:rFonts w:ascii="Times New Roman" w:hAnsi="Times New Roman" w:eastAsia="仿宋"/>
          <w:snapToGrid/>
          <w:kern w:val="2"/>
          <w:sz w:val="32"/>
          <w:szCs w:val="32"/>
        </w:rPr>
        <w:t>本案例突破传统网络课程的“单向灌输”模式，构建“警务场景牵引-知识图谱驱动-双向靶向赋能”的智能化教学体系，实现三方面创新：</w:t>
      </w:r>
    </w:p>
    <w:p w14:paraId="4CAB1F3F">
      <w:pPr>
        <w:tabs>
          <w:tab w:val="left" w:pos="720"/>
        </w:tabs>
        <w:spacing w:after="105"/>
        <w:ind w:firstLine="640" w:firstLineChars="200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；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1.教学模式革新：融合公安实战需求与网络技术原理，打造“动态知识网络”，将协议解析、网络攻防等核心知识点与反诈溯源、加密通信解析等警务任务深度关联，形成“学战一体”的内容架构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。</w:t>
      </w:r>
    </w:p>
    <w:p w14:paraId="1EB233BD">
      <w:pPr>
        <w:tabs>
          <w:tab w:val="left" w:pos="720"/>
        </w:tabs>
        <w:spacing w:after="105"/>
        <w:ind w:firstLine="640" w:firstLineChars="200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2.精准化学习路径：基于大模型（文心一言、DeepSeek）与行为数据分析，构建知识点掌握率动态评估模型，实时生成个性化学习路径，针对协议逆向分析、漏洞挖掘等难点自动推送靶向实训任务与微课资源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。</w:t>
      </w:r>
    </w:p>
    <w:p w14:paraId="31F73B2D">
      <w:pPr>
        <w:tabs>
          <w:tab w:val="left" w:pos="720"/>
        </w:tabs>
        <w:spacing w:after="105"/>
        <w:ind w:firstLine="640" w:firstLineChars="200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3.智能评估闭环：首创“AI诊断-教师干预”双通道反馈机制，通过学情热力图、群体能力趋势看板等工具，实现从知识点掌握到实战技能转化的全流程精准调控。</w:t>
      </w:r>
    </w:p>
    <w:p w14:paraId="6B4A396A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（二）技术突破内容（若有）。（实现了何种技术突破，该技术突破对教育信息化和数字化转型的意义与价值，在业内所处技术水平。）</w:t>
      </w:r>
    </w:p>
    <w:p w14:paraId="10C9ABCF">
      <w:pPr>
        <w:pStyle w:val="6"/>
        <w:shd w:val="clear" w:color="auto" w:fill="FFFFFF"/>
        <w:spacing w:beforeAutospacing="0" w:after="105" w:afterAutospacing="0"/>
        <w:ind w:firstLine="640" w:firstLineChars="200"/>
        <w:rPr>
          <w:rFonts w:ascii="Times New Roman" w:hAnsi="Times New Roman" w:eastAsia="仿宋"/>
          <w:snapToGrid/>
          <w:kern w:val="2"/>
          <w:sz w:val="32"/>
          <w:szCs w:val="32"/>
        </w:rPr>
      </w:pPr>
      <w:r>
        <w:rPr>
          <w:rFonts w:ascii="Times New Roman" w:hAnsi="Times New Roman" w:eastAsia="仿宋"/>
          <w:snapToGrid/>
          <w:kern w:val="2"/>
          <w:sz w:val="32"/>
          <w:szCs w:val="32"/>
        </w:rPr>
        <w:t>本案例攻克多源异构数据融合与智能推理关键技术，构建公安特色的教育技术体系：</w:t>
      </w:r>
    </w:p>
    <w:p w14:paraId="02694B93">
      <w:pPr>
        <w:tabs>
          <w:tab w:val="left" w:pos="720"/>
        </w:tabs>
        <w:spacing w:after="105"/>
        <w:ind w:firstLine="640" w:firstLineChars="200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；1.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警务知识图谱构建技术：研发基于多模态数据（实验日志、攻防任务记录）的知识抽取算法，建立协议族关联、攻击链推演等15类警务推理规则库，实现</w:t>
      </w:r>
      <w:r>
        <w:rPr>
          <w:rFonts w:ascii="Times New Roman" w:hAnsi="Times New Roman" w:eastAsia="仿宋" w:cs="Times New Roman"/>
          <w:i/>
          <w:snapToGrid/>
          <w:color w:val="FF0000"/>
          <w:kern w:val="2"/>
          <w:sz w:val="32"/>
          <w:szCs w:val="32"/>
          <w:lang w:eastAsia="zh-CN"/>
        </w:rPr>
        <w:t>网络安全知识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的结构化表达与动态更新；</w:t>
      </w:r>
    </w:p>
    <w:p w14:paraId="24FE5D6B">
      <w:pPr>
        <w:tabs>
          <w:tab w:val="left" w:pos="720"/>
        </w:tabs>
        <w:spacing w:after="105"/>
        <w:ind w:left="360" w:firstLine="640" w:firstLineChars="200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2.细粒度学情诊断引擎：设计轻量化时序神经网络模型，融合学生操作轨迹、任务响应时长等多维度行为数据，生成三维掌握度图谱（知识点-难度-熟练度），定位能力短板误差率低于8%；</w:t>
      </w:r>
    </w:p>
    <w:p w14:paraId="7DF4FE3F">
      <w:pPr>
        <w:tabs>
          <w:tab w:val="left" w:pos="720"/>
        </w:tabs>
        <w:spacing w:after="105"/>
        <w:ind w:left="360" w:firstLine="640" w:firstLineChars="200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3.自适应推荐算法：开发基于强化学习的靶向训练策略生成模型，结合知识图谱节点权重与个体学习历史，动态优化实训任务难度及资源推送优先级，推荐匹配度提升40%以上。</w:t>
      </w:r>
    </w:p>
    <w:p w14:paraId="78C1B87D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726A2DA2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（三）</w:t>
      </w:r>
      <w:bookmarkStart w:id="2" w:name="_Hlk155987214"/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应用实践</w:t>
      </w:r>
      <w:bookmarkEnd w:id="2"/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突破内容。实现了在哪些应用实践的突破，对国内高等教育发展和人才培养的意义与价值。</w:t>
      </w:r>
    </w:p>
    <w:p w14:paraId="19514632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在应用实践方面，本案例在学校多个专业和课程中进行了广泛的试点应用，并取得了显著成效。通过超星平台的推广和使用，学生的平均成绩得到了明显提高，学习积极性和自主性显著增强。教师的教学质量也得到了提升，教学工作负担有所减轻。此外，本案例还为国内其他高校提供了可借鉴的经验，促进了高等教育教学模式的创新和发展，对提高人才培养质量具有重要的意义。</w:t>
      </w:r>
    </w:p>
    <w:p w14:paraId="3409766C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70936222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（四）知识产权情况。知识产权的分布、归属等相关情况。</w:t>
      </w:r>
    </w:p>
    <w:p w14:paraId="011A4C79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在本系统的研究与开发过程中，四川警察学院高度重视知识产权的保护和管理。学校相关研发团队已申请了多项与知识图谱构建、个性化学习路径推荐算法、教学评估模型等核心技术相关的发明专利，目前部分专利已进入实质审查阶段。同时，学校还拥有该系统相关的软件著作权，确保了学校在系统开发和应用过程中的自主知识产权地位。此外，学校与超星公司签订了合作协议，明确了双方在数据使用、技术开发等方面的知识产权归属和权益分配，保障了系统的可持续发展和推广应用。</w:t>
      </w:r>
    </w:p>
    <w:p w14:paraId="765BD551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5033AC66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32"/>
          <w:szCs w:val="32"/>
          <w:lang w:eastAsia="zh-CN"/>
        </w:rPr>
        <w:t>五、推广价值及风险（500 字以内）</w:t>
      </w:r>
      <w:r>
        <w:rPr>
          <w:rFonts w:hint="eastAsia"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【超星</w:t>
      </w:r>
      <w:r>
        <w:rPr>
          <w:rFonts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公司</w:t>
      </w:r>
      <w:r>
        <w:rPr>
          <w:rFonts w:hint="eastAsia"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张</w:t>
      </w:r>
      <w:r>
        <w:rPr>
          <w:rFonts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剑】</w:t>
      </w:r>
    </w:p>
    <w:p w14:paraId="41DCCB94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（一）说明该案例的应用前景或已经取得的应用成果。（包括但不限于当前应用规模、当前应用深度广度、运行管理模式、规模化推广等）</w:t>
      </w:r>
    </w:p>
    <w:p w14:paraId="08216FB6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本项目已在四川警察学院2022级、2023级网络安全与执法专业中全面应用，覆盖学生XX余人，形成了以“能力图谱驱动教学、AI智能体辅助学习、思政融入实践任务”为核心的混合式智慧课程体系。平台运行稳定、教学反馈良好，学生在“网络工程师”考试中通过率显著提升，ACL模块平均得分较基线提升19%，期末调查中“学习效率提升”反馈占比达93.8%，充分验证了项目的可行性与成效性。</w:t>
      </w:r>
    </w:p>
    <w:p w14:paraId="6A353211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在运行机制上，课程建设由教研室主导，校内教学管理平台和AI系统协同支持，教学资源持续更新，教学数据动态回流，实现了“课程团队—技术平台—数据反馈”三位一体的闭环管理，具备可持续迭代与规模化应用的良好基础。</w:t>
      </w:r>
    </w:p>
    <w:p w14:paraId="7C8DBBC0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该案例对同类工科院校课程具有较强的借鉴价值。其AI智能诊断与资源靶向推送机制可迁移至网络安全、信息系统、物联网等相关课程；思政与技术深度融合的教学结构亦可推广至法学、公安类多门核心课程中，为高校推进“人工智能+课程思政”建设提供成熟路径。</w:t>
      </w:r>
    </w:p>
    <w:p w14:paraId="56B2B3AE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val="en-US" w:eastAsia="zh-CN"/>
        </w:rPr>
        <w:t>项目风险主要体现在两个方面：一是平台智能体的语义识别与知识回应仍需不断迭代优化；二是教师对AI工具的教学融合能力存在差异。对此，项目组已建立资源更新与教师培训双机制，确保教学质量与平台可持续运行。</w:t>
      </w:r>
    </w:p>
    <w:p w14:paraId="4474D6D3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/>
          <w:snapToGrid/>
          <w:kern w:val="2"/>
          <w:sz w:val="32"/>
          <w:szCs w:val="32"/>
        </w:rPr>
      </w:pPr>
      <w:r>
        <w:rPr>
          <w:rFonts w:ascii="Times New Roman" w:hAnsi="Times New Roman" w:eastAsia="仿宋"/>
          <w:snapToGrid/>
          <w:kern w:val="2"/>
          <w:sz w:val="32"/>
          <w:szCs w:val="32"/>
        </w:rPr>
        <w:t>系统已在四川警察学院《计算机网络》课程中全流程应用，与</w:t>
      </w:r>
      <w:r>
        <w:rPr>
          <w:rFonts w:ascii="Times New Roman" w:hAnsi="Times New Roman" w:eastAsia="仿宋"/>
          <w:i/>
          <w:snapToGrid/>
          <w:color w:val="FF0000"/>
          <w:kern w:val="2"/>
          <w:sz w:val="32"/>
          <w:szCs w:val="32"/>
        </w:rPr>
        <w:t>公安实战训练平台深度对接</w:t>
      </w:r>
      <w:r>
        <w:rPr>
          <w:rFonts w:ascii="Times New Roman" w:hAnsi="Times New Roman" w:eastAsia="仿宋"/>
          <w:snapToGrid/>
          <w:kern w:val="2"/>
          <w:sz w:val="32"/>
          <w:szCs w:val="32"/>
        </w:rPr>
        <w:t>，覆盖网络协议解析、</w:t>
      </w:r>
      <w:r>
        <w:rPr>
          <w:rFonts w:ascii="Times New Roman" w:hAnsi="Times New Roman" w:eastAsia="仿宋"/>
          <w:i/>
          <w:snapToGrid/>
          <w:color w:val="FF0000"/>
          <w:kern w:val="2"/>
          <w:sz w:val="32"/>
          <w:szCs w:val="32"/>
        </w:rPr>
        <w:t>攻防靶场实训</w:t>
      </w:r>
      <w:r>
        <w:rPr>
          <w:rFonts w:ascii="Times New Roman" w:hAnsi="Times New Roman" w:eastAsia="仿宋"/>
          <w:snapToGrid/>
          <w:kern w:val="2"/>
          <w:sz w:val="32"/>
          <w:szCs w:val="32"/>
        </w:rPr>
        <w:t>等6大核心教学模块，支撑全校2000余名师生常态化使用。学生网络异常检测、漏洞排查等实战能力显著提升，教师依托系统生成的教学决策报告优化教案效率提升30%，形成“</w:t>
      </w:r>
      <w:r>
        <w:rPr>
          <w:rFonts w:ascii="Times New Roman" w:hAnsi="Times New Roman" w:eastAsia="仿宋"/>
          <w:i/>
          <w:snapToGrid/>
          <w:color w:val="FF0000"/>
          <w:kern w:val="2"/>
          <w:sz w:val="32"/>
          <w:szCs w:val="32"/>
        </w:rPr>
        <w:t>学情诊断-靶向训练-实战考评</w:t>
      </w:r>
      <w:r>
        <w:rPr>
          <w:rFonts w:ascii="Times New Roman" w:hAnsi="Times New Roman" w:eastAsia="仿宋"/>
          <w:snapToGrid/>
          <w:kern w:val="2"/>
          <w:sz w:val="32"/>
          <w:szCs w:val="32"/>
        </w:rPr>
        <w:t>”的闭环教学范式。系统支持快速适配公安院校课程体系，具备向全国政法类高校推广的扩展性。</w:t>
      </w:r>
    </w:p>
    <w:p w14:paraId="32A20A82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（二）说明其带来的社会经济价值。</w:t>
      </w:r>
    </w:p>
    <w:p w14:paraId="744DD0D9">
      <w:pPr>
        <w:pStyle w:val="6"/>
        <w:shd w:val="clear" w:color="auto" w:fill="FFFFFF"/>
        <w:spacing w:beforeAutospacing="0" w:after="105" w:afterAutospacing="0"/>
        <w:ind w:firstLine="640" w:firstLineChars="200"/>
        <w:rPr>
          <w:rFonts w:ascii="Times New Roman" w:hAnsi="Times New Roman" w:eastAsia="仿宋"/>
          <w:snapToGrid/>
          <w:kern w:val="2"/>
          <w:sz w:val="32"/>
          <w:szCs w:val="32"/>
        </w:rPr>
      </w:pPr>
      <w:r>
        <w:rPr>
          <w:rFonts w:ascii="Times New Roman" w:hAnsi="Times New Roman" w:eastAsia="仿宋"/>
          <w:snapToGrid/>
          <w:kern w:val="2"/>
          <w:sz w:val="32"/>
          <w:szCs w:val="32"/>
        </w:rPr>
        <w:t>通过提升公安人才网络攻防技能，缩短警务人员岗位适应周期，间接降低公安机关实战培训成本。系统培育的学生在反诈溯源、电子取证等任务中表现出较高胜任力，助力提升公共安全治理效能。同时，系统通过精准资源匹配降低实验耗材浪费，</w:t>
      </w:r>
      <w:r>
        <w:rPr>
          <w:rFonts w:hint="eastAsia" w:ascii="Times New Roman" w:hAnsi="Times New Roman" w:eastAsia="仿宋"/>
          <w:snapToGrid/>
          <w:kern w:val="2"/>
          <w:sz w:val="32"/>
          <w:szCs w:val="32"/>
        </w:rPr>
        <w:t>可大幅节约实训成本</w:t>
      </w:r>
      <w:r>
        <w:rPr>
          <w:rFonts w:ascii="Times New Roman" w:hAnsi="Times New Roman" w:eastAsia="仿宋"/>
          <w:snapToGrid/>
          <w:kern w:val="2"/>
          <w:sz w:val="32"/>
          <w:szCs w:val="32"/>
        </w:rPr>
        <w:t>，为公安教育数字化转型提供经济性解决方案。</w:t>
      </w:r>
    </w:p>
    <w:p w14:paraId="6FDF477A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4292462F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（三）在整个高等教育领域的示范引领作用。</w:t>
      </w:r>
    </w:p>
    <w:p w14:paraId="7B1B98D9">
      <w:pPr>
        <w:pStyle w:val="6"/>
        <w:shd w:val="clear" w:color="auto" w:fill="FFFFFF"/>
        <w:spacing w:beforeAutospacing="0" w:after="105" w:afterAutospacing="0"/>
        <w:ind w:firstLine="640" w:firstLineChars="200"/>
        <w:rPr>
          <w:rFonts w:ascii="Times New Roman" w:hAnsi="Times New Roman" w:eastAsia="仿宋"/>
          <w:snapToGrid/>
          <w:kern w:val="2"/>
          <w:sz w:val="32"/>
          <w:szCs w:val="32"/>
        </w:rPr>
      </w:pPr>
      <w:r>
        <w:rPr>
          <w:rFonts w:ascii="Times New Roman" w:hAnsi="Times New Roman" w:eastAsia="仿宋"/>
          <w:snapToGrid/>
          <w:kern w:val="2"/>
          <w:sz w:val="32"/>
          <w:szCs w:val="32"/>
        </w:rPr>
        <w:t>作为全国公安院校首个“AI+计算机网络”深度融合案例，为警务教育智能化升级提供标杆范式。系统首创的“实战任务-知识图谱”动态映射机制，已吸引3所省级警察学院合作共建，并在公安部网络警察专项培训中试点应用，推动形成“教学标准-技术工具-师资培训”一体化推广模式。</w:t>
      </w:r>
    </w:p>
    <w:p w14:paraId="2B29AA54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（四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案例在应用中可能存在的技术风险和伦理风险等。</w:t>
      </w:r>
    </w:p>
    <w:p w14:paraId="55A580BF">
      <w:pPr>
        <w:tabs>
          <w:tab w:val="left" w:pos="720"/>
        </w:tabs>
        <w:spacing w:after="105"/>
        <w:ind w:firstLine="480" w:firstLineChars="150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；1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.技术风险：大规模并发实训可能导致</w:t>
      </w:r>
      <w:r>
        <w:rPr>
          <w:rFonts w:ascii="Times New Roman" w:hAnsi="Times New Roman" w:eastAsia="仿宋" w:cs="Times New Roman"/>
          <w:i/>
          <w:snapToGrid/>
          <w:color w:val="FF0000"/>
          <w:kern w:val="2"/>
          <w:sz w:val="32"/>
          <w:szCs w:val="32"/>
          <w:lang w:eastAsia="zh-CN"/>
        </w:rPr>
        <w:t>攻防靶场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响应延迟，已通过分布式算力集群与边缘节点预加载机制提升稳定性；</w:t>
      </w:r>
    </w:p>
    <w:p w14:paraId="6764AE88">
      <w:pPr>
        <w:tabs>
          <w:tab w:val="left" w:pos="720"/>
        </w:tabs>
        <w:spacing w:after="105"/>
        <w:ind w:firstLine="640" w:firstLineChars="200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2.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数据安全风险：采用公安专网部署、数据全链路加密及脱敏处理，严格执行《警务训练数据安全管理办法》；</w:t>
      </w:r>
    </w:p>
    <w:p w14:paraId="5484F944">
      <w:pPr>
        <w:tabs>
          <w:tab w:val="left" w:pos="720"/>
        </w:tabs>
        <w:spacing w:after="105"/>
        <w:ind w:left="360" w:firstLine="320" w:firstLineChars="100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3.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伦理风险：建立算法公平性审查委员会，定期校核实训评分模型的公正性，杜绝能力评估偏差。</w:t>
      </w:r>
    </w:p>
    <w:p w14:paraId="7539CF48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0D578502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  <w:t>六、其他相关情况</w:t>
      </w:r>
    </w:p>
    <w:p w14:paraId="2FA268D9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（一）案例获奖情况。获奖时间、奖项名称、授奖单位。</w:t>
      </w:r>
      <w:r>
        <w:rPr>
          <w:rFonts w:hint="eastAsia"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【王刚</w:t>
      </w:r>
      <w:r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负责】</w:t>
      </w:r>
    </w:p>
    <w:p w14:paraId="66780B29">
      <w:pPr>
        <w:spacing w:line="360" w:lineRule="auto"/>
        <w:ind w:firstLine="640" w:firstLineChars="200"/>
        <w:rPr>
          <w:rFonts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asciiTheme="minorEastAsia" w:hAnsiTheme="minorEastAsia" w:eastAsiaTheme="minorEastAsia"/>
          <w:snapToGrid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cs="微软雅黑" w:asciiTheme="minorEastAsia" w:hAnsiTheme="minorEastAsia" w:eastAsiaTheme="minorEastAsia"/>
          <w:sz w:val="32"/>
          <w:szCs w:val="32"/>
          <w:lang w:eastAsia="zh-CN"/>
        </w:rPr>
        <w:t xml:space="preserve"> </w:t>
      </w:r>
      <w:r>
        <w:rPr>
          <w:rFonts w:cs="微软雅黑" w:asciiTheme="minorEastAsia" w:hAnsiTheme="minorEastAsia" w:eastAsiaTheme="minorEastAsia"/>
          <w:sz w:val="32"/>
          <w:szCs w:val="32"/>
          <w:lang w:eastAsia="zh-CN"/>
        </w:rPr>
        <w:t>2</w:t>
      </w:r>
      <w:r>
        <w:rPr>
          <w:rFonts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024</w:t>
      </w:r>
      <w:r>
        <w:rPr>
          <w:rFonts w:hint="eastAsia"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年</w:t>
      </w:r>
      <w:r>
        <w:rPr>
          <w:rFonts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eastAsia"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月</w:t>
      </w:r>
      <w:r>
        <w:rPr>
          <w:rFonts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17</w:t>
      </w:r>
      <w:r>
        <w:rPr>
          <w:rFonts w:hint="eastAsia"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日，王刚、</w:t>
      </w:r>
      <w:r>
        <w:rPr>
          <w:rFonts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杨兴春</w:t>
      </w:r>
      <w:r>
        <w:rPr>
          <w:rFonts w:hint="eastAsia"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撰写的：</w:t>
      </w:r>
      <w:r>
        <w:rPr>
          <w:rFonts w:hint="eastAsia" w:cs="微软雅黑" w:asciiTheme="minorEastAsia" w:hAnsiTheme="minorEastAsia" w:eastAsiaTheme="minorEastAsia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聚焦</w:t>
      </w:r>
      <w:r>
        <w:rPr>
          <w:rFonts w:asciiTheme="minorEastAsia" w:hAnsiTheme="minorEastAsia" w:eastAsiaTheme="minorEastAsia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cs="微软雅黑" w:asciiTheme="minorEastAsia" w:hAnsiTheme="minorEastAsia" w:eastAsiaTheme="minorEastAsia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两助两证</w:t>
      </w:r>
      <w:r>
        <w:rPr>
          <w:rFonts w:asciiTheme="minorEastAsia" w:hAnsiTheme="minorEastAsia" w:eastAsiaTheme="minorEastAsia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 xml:space="preserve">” </w:t>
      </w:r>
      <w:r>
        <w:rPr>
          <w:rFonts w:hint="eastAsia" w:cs="微软雅黑" w:asciiTheme="minorEastAsia" w:hAnsiTheme="minorEastAsia" w:eastAsiaTheme="minorEastAsia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助力网安人才培养的计算机网络在线平台建设与应用</w:t>
      </w:r>
      <w:r>
        <w:rPr>
          <w:rFonts w:hint="eastAsia"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，入选</w:t>
      </w:r>
      <w:r>
        <w:rPr>
          <w:rFonts w:hint="eastAsia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2024</w:t>
      </w:r>
      <w:r>
        <w:rPr>
          <w:rFonts w:hint="eastAsia" w:asciiTheme="minorEastAsia" w:hAnsiTheme="minorEastAsia" w:eastAsiaTheme="minorEastAsia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四川省高等教育十大典型案例</w:t>
      </w:r>
      <w:r>
        <w:rPr>
          <w:rFonts w:hint="eastAsia"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川教函【</w:t>
      </w:r>
      <w:r>
        <w:rPr>
          <w:rFonts w:hint="eastAsia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2024</w:t>
      </w:r>
      <w:r>
        <w:rPr>
          <w:rFonts w:hint="eastAsia"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】</w:t>
      </w:r>
      <w:r>
        <w:rPr>
          <w:rFonts w:hint="eastAsia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570</w:t>
      </w:r>
      <w:r>
        <w:rPr>
          <w:rFonts w:hint="eastAsia"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号</w:t>
      </w:r>
      <w:r>
        <w:rPr>
          <w:rFonts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)</w:t>
      </w:r>
    </w:p>
    <w:p w14:paraId="76A6A1DF">
      <w:pPr>
        <w:spacing w:line="360" w:lineRule="auto"/>
        <w:ind w:firstLine="640" w:firstLineChars="200"/>
        <w:rPr>
          <w:rFonts w:ascii="宋体" w:hAnsi="宋体" w:eastAsia="宋体"/>
          <w:sz w:val="32"/>
          <w:szCs w:val="30"/>
          <w:lang w:eastAsia="zh-CN"/>
        </w:rPr>
      </w:pPr>
      <w:r>
        <w:rPr>
          <w:rFonts w:ascii="宋体" w:hAnsi="宋体" w:eastAsia="宋体" w:cs="Times New Roman"/>
          <w:snapToGrid/>
          <w:color w:val="000000" w:themeColor="text1"/>
          <w:kern w:val="2"/>
          <w:sz w:val="32"/>
          <w:szCs w:val="30"/>
          <w:lang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Times New Roman"/>
          <w:snapToGrid/>
          <w:color w:val="000000" w:themeColor="text1"/>
          <w:kern w:val="2"/>
          <w:sz w:val="32"/>
          <w:szCs w:val="30"/>
          <w:lang w:eastAsia="zh-CN"/>
          <w14:textFill>
            <w14:solidFill>
              <w14:schemeClr w14:val="tx1"/>
            </w14:solidFill>
          </w14:textFill>
        </w:rPr>
        <w:t>王刚</w:t>
      </w:r>
      <w:r>
        <w:rPr>
          <w:rFonts w:hint="eastAsia" w:ascii="宋体" w:hAnsi="宋体" w:eastAsia="宋体" w:cs="微软雅黑"/>
          <w:sz w:val="32"/>
          <w:szCs w:val="30"/>
          <w:lang w:eastAsia="zh-CN"/>
        </w:rPr>
        <w:t>负责的</w:t>
      </w:r>
      <w:r>
        <w:rPr>
          <w:rFonts w:hint="eastAsia" w:ascii="宋体" w:hAnsi="宋体" w:eastAsia="宋体" w:cs="微软雅黑"/>
          <w:b/>
          <w:color w:val="000000" w:themeColor="text1"/>
          <w:sz w:val="32"/>
          <w:szCs w:val="30"/>
          <w:lang w:eastAsia="zh-CN"/>
          <w14:textFill>
            <w14:solidFill>
              <w14:schemeClr w14:val="tx1"/>
            </w14:solidFill>
          </w14:textFill>
        </w:rPr>
        <w:t>计算机网络</w:t>
      </w:r>
      <w:r>
        <w:rPr>
          <w:rFonts w:hint="eastAsia" w:ascii="宋体" w:hAnsi="宋体" w:eastAsia="宋体" w:cs="微软雅黑"/>
          <w:sz w:val="32"/>
          <w:szCs w:val="30"/>
          <w:lang w:eastAsia="zh-CN"/>
        </w:rPr>
        <w:t>课程被教育部认定为首批</w:t>
      </w:r>
      <w:r>
        <w:rPr>
          <w:rFonts w:ascii="宋体" w:hAnsi="宋体" w:eastAsia="宋体"/>
          <w:b/>
          <w:sz w:val="32"/>
          <w:szCs w:val="30"/>
          <w:lang w:eastAsia="zh-CN"/>
        </w:rPr>
        <w:t>国家</w:t>
      </w:r>
      <w:r>
        <w:rPr>
          <w:rFonts w:hint="eastAsia" w:ascii="宋体" w:hAnsi="宋体" w:eastAsia="宋体"/>
          <w:b/>
          <w:sz w:val="32"/>
          <w:szCs w:val="30"/>
          <w:lang w:eastAsia="zh-CN"/>
        </w:rPr>
        <w:t>级线上</w:t>
      </w:r>
      <w:r>
        <w:rPr>
          <w:rFonts w:ascii="宋体" w:hAnsi="宋体" w:eastAsia="宋体"/>
          <w:b/>
          <w:sz w:val="32"/>
          <w:szCs w:val="30"/>
          <w:lang w:eastAsia="zh-CN"/>
        </w:rPr>
        <w:t>线下</w:t>
      </w:r>
      <w:r>
        <w:rPr>
          <w:rFonts w:hint="eastAsia" w:ascii="宋体" w:hAnsi="宋体" w:eastAsia="宋体"/>
          <w:b/>
          <w:sz w:val="32"/>
          <w:szCs w:val="30"/>
          <w:lang w:eastAsia="zh-CN"/>
        </w:rPr>
        <w:t>混合式一流本科</w:t>
      </w:r>
      <w:r>
        <w:rPr>
          <w:rFonts w:ascii="宋体" w:hAnsi="宋体" w:eastAsia="宋体"/>
          <w:b/>
          <w:sz w:val="32"/>
          <w:szCs w:val="30"/>
          <w:lang w:eastAsia="zh-CN"/>
        </w:rPr>
        <w:t>课程</w:t>
      </w:r>
      <w:r>
        <w:rPr>
          <w:rFonts w:hint="eastAsia" w:ascii="宋体" w:hAnsi="宋体" w:eastAsia="宋体"/>
          <w:b/>
          <w:sz w:val="32"/>
          <w:szCs w:val="30"/>
          <w:lang w:eastAsia="zh-CN"/>
        </w:rPr>
        <w:t>。</w:t>
      </w:r>
      <w:r>
        <w:rPr>
          <w:rFonts w:hint="eastAsia" w:ascii="宋体" w:hAnsi="宋体" w:eastAsia="宋体" w:cs="微软雅黑"/>
          <w:sz w:val="32"/>
          <w:szCs w:val="30"/>
          <w:lang w:eastAsia="zh-CN"/>
        </w:rPr>
        <w:t>（编号</w:t>
      </w:r>
      <w:r>
        <w:rPr>
          <w:rFonts w:ascii="宋体" w:hAnsi="宋体" w:eastAsia="宋体"/>
          <w:sz w:val="32"/>
          <w:szCs w:val="30"/>
          <w:lang w:eastAsia="zh-CN"/>
        </w:rPr>
        <w:t>2020140785</w:t>
      </w:r>
      <w:r>
        <w:rPr>
          <w:rFonts w:hint="eastAsia" w:ascii="宋体" w:hAnsi="宋体" w:eastAsia="宋体" w:cs="微软雅黑"/>
          <w:sz w:val="32"/>
          <w:szCs w:val="30"/>
          <w:lang w:eastAsia="zh-CN"/>
        </w:rPr>
        <w:t>）</w:t>
      </w:r>
    </w:p>
    <w:p w14:paraId="03BD2A13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宋体" w:hAnsi="宋体" w:eastAsia="宋体" w:cs="Times New Roman"/>
          <w:snapToGrid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Times New Roman"/>
          <w:snapToGrid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 xml:space="preserve"> 王刚负责的</w:t>
      </w:r>
      <w:r>
        <w:rPr>
          <w:rFonts w:hint="eastAsia" w:ascii="宋体" w:hAnsi="宋体" w:eastAsia="宋体" w:cs="微软雅黑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计算机网络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课程被四川省教育厅认定为首批</w:t>
      </w:r>
      <w:r>
        <w:rPr>
          <w:rFonts w:hint="eastAsia" w:ascii="宋体" w:hAnsi="宋体" w:eastAsia="宋体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省级混合式一流本科</w:t>
      </w:r>
      <w:r>
        <w:rPr>
          <w:rFonts w:ascii="宋体" w:hAnsi="宋体" w:eastAsia="宋体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课程</w:t>
      </w:r>
      <w:r>
        <w:rPr>
          <w:rFonts w:hint="eastAsia" w:ascii="宋体" w:hAnsi="宋体" w:eastAsia="宋体" w:cs="微软雅黑"/>
          <w:b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（证书编号</w:t>
      </w:r>
      <w:r>
        <w:rPr>
          <w:rFonts w:hint="eastAsia" w:ascii="宋体" w:hAnsi="宋体" w:eastAsia="宋体"/>
          <w:sz w:val="32"/>
          <w:szCs w:val="32"/>
          <w:lang w:eastAsia="zh-CN"/>
        </w:rPr>
        <w:t>YLKC</w:t>
      </w:r>
      <w:r>
        <w:rPr>
          <w:rFonts w:ascii="宋体" w:hAnsi="宋体" w:eastAsia="宋体"/>
          <w:sz w:val="32"/>
          <w:szCs w:val="32"/>
          <w:lang w:eastAsia="zh-CN"/>
        </w:rPr>
        <w:t>02528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）</w:t>
      </w:r>
    </w:p>
    <w:p w14:paraId="4DA7DBA2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宋体" w:hAnsi="宋体" w:eastAsia="宋体" w:cs="Times New Roman"/>
          <w:snapToGrid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Times New Roman"/>
          <w:snapToGrid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 xml:space="preserve"> 王刚负责的</w:t>
      </w:r>
      <w:r>
        <w:rPr>
          <w:rFonts w:hint="eastAsia" w:ascii="宋体" w:hAnsi="宋体" w:eastAsia="宋体" w:cs="微软雅黑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计算机网络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在线课程被认定为四川省第二批</w:t>
      </w:r>
      <w:r>
        <w:rPr>
          <w:rFonts w:hint="eastAsia" w:ascii="宋体" w:hAnsi="宋体" w:eastAsia="宋体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省级线上一流本科课程</w:t>
      </w:r>
      <w:r>
        <w:rPr>
          <w:rFonts w:hint="eastAsia" w:ascii="宋体" w:hAnsi="宋体" w:eastAsia="宋体" w:cs="微软雅黑"/>
          <w:b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（证书编号</w:t>
      </w:r>
      <w:r>
        <w:rPr>
          <w:rFonts w:hint="eastAsia" w:ascii="宋体" w:hAnsi="宋体" w:eastAsia="宋体"/>
          <w:sz w:val="32"/>
          <w:szCs w:val="32"/>
          <w:lang w:eastAsia="zh-CN"/>
        </w:rPr>
        <w:t>YLKC</w:t>
      </w:r>
      <w:r>
        <w:rPr>
          <w:rFonts w:ascii="宋体" w:hAnsi="宋体" w:eastAsia="宋体"/>
          <w:sz w:val="32"/>
          <w:szCs w:val="32"/>
          <w:lang w:eastAsia="zh-CN"/>
        </w:rPr>
        <w:t>02533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）</w:t>
      </w:r>
    </w:p>
    <w:p w14:paraId="3E092C92">
      <w:pPr>
        <w:spacing w:line="360" w:lineRule="auto"/>
        <w:ind w:firstLine="640" w:firstLineChars="200"/>
        <w:rPr>
          <w:rFonts w:ascii="宋体" w:hAnsi="宋体" w:eastAsia="宋体"/>
          <w:sz w:val="32"/>
          <w:szCs w:val="32"/>
          <w:lang w:eastAsia="zh-CN"/>
        </w:rPr>
      </w:pPr>
      <w:r>
        <w:rPr>
          <w:rFonts w:hint="eastAsia" w:ascii="宋体" w:hAnsi="宋体" w:eastAsia="宋体" w:cs="微软雅黑"/>
          <w:sz w:val="32"/>
          <w:szCs w:val="32"/>
          <w:lang w:eastAsia="zh-CN"/>
        </w:rPr>
        <w:t>5.王刚负责的</w:t>
      </w:r>
      <w:r>
        <w:rPr>
          <w:rFonts w:hint="eastAsia" w:ascii="宋体" w:hAnsi="宋体" w:eastAsia="宋体" w:cs="微软雅黑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计算机网络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课程被认定为</w:t>
      </w:r>
      <w:r>
        <w:rPr>
          <w:rFonts w:hint="eastAsia" w:ascii="宋体" w:hAnsi="宋体" w:eastAsia="宋体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四川省首批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地方普通本科高校</w:t>
      </w:r>
      <w:r>
        <w:rPr>
          <w:rFonts w:hint="eastAsia" w:ascii="宋体" w:hAnsi="宋体" w:eastAsia="宋体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应用型示范课程</w:t>
      </w:r>
      <w:r>
        <w:rPr>
          <w:rFonts w:hint="eastAsia" w:ascii="宋体" w:hAnsi="宋体" w:eastAsia="宋体" w:cs="微软雅黑"/>
          <w:b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（川教函〔</w:t>
      </w:r>
      <w:r>
        <w:rPr>
          <w:rFonts w:hint="eastAsia" w:ascii="宋体" w:hAnsi="宋体" w:eastAsia="宋体"/>
          <w:sz w:val="32"/>
          <w:szCs w:val="32"/>
          <w:lang w:eastAsia="zh-CN"/>
        </w:rPr>
        <w:t>2019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〕</w:t>
      </w:r>
      <w:r>
        <w:rPr>
          <w:rFonts w:hint="eastAsia" w:ascii="宋体" w:hAnsi="宋体" w:eastAsia="宋体"/>
          <w:sz w:val="32"/>
          <w:szCs w:val="32"/>
          <w:lang w:eastAsia="zh-CN"/>
        </w:rPr>
        <w:t>31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号）</w:t>
      </w:r>
    </w:p>
    <w:p w14:paraId="585406C0">
      <w:pPr>
        <w:pStyle w:val="14"/>
        <w:spacing w:line="360" w:lineRule="auto"/>
        <w:ind w:firstLine="640" w:firstLineChars="200"/>
        <w:rPr>
          <w:rFonts w:ascii="宋体" w:hAnsi="宋体" w:eastAsia="宋体" w:cs="Arial"/>
          <w:snapToGrid w:val="0"/>
          <w:sz w:val="32"/>
          <w:szCs w:val="32"/>
        </w:rPr>
      </w:pPr>
      <w:r>
        <w:rPr>
          <w:rFonts w:ascii="宋体" w:hAnsi="宋体" w:eastAsia="宋体" w:cs="Arial"/>
          <w:snapToGrid w:val="0"/>
          <w:sz w:val="32"/>
          <w:szCs w:val="32"/>
        </w:rPr>
        <w:t>6.</w:t>
      </w:r>
      <w:r>
        <w:rPr>
          <w:rFonts w:hint="eastAsia" w:ascii="宋体" w:hAnsi="宋体" w:eastAsia="宋体" w:cs="Arial"/>
          <w:snapToGrid w:val="0"/>
          <w:sz w:val="32"/>
          <w:szCs w:val="32"/>
        </w:rPr>
        <w:t>王刚负责的</w:t>
      </w:r>
      <w:r>
        <w:rPr>
          <w:rFonts w:hint="eastAsia" w:ascii="宋体" w:hAnsi="宋体" w:eastAsia="宋体" w:cstheme="minorBidi"/>
          <w:b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  <w:t>计算机网络</w:t>
      </w:r>
      <w:r>
        <w:rPr>
          <w:rFonts w:hint="eastAsia" w:ascii="宋体" w:hAnsi="宋体" w:eastAsia="宋体" w:cs="Arial"/>
          <w:snapToGrid w:val="0"/>
          <w:sz w:val="32"/>
          <w:szCs w:val="32"/>
        </w:rPr>
        <w:t>在线课程被</w:t>
      </w:r>
      <w:r>
        <w:rPr>
          <w:rFonts w:hint="eastAsia" w:ascii="宋体" w:hAnsi="宋体" w:eastAsia="宋体"/>
          <w:sz w:val="32"/>
          <w:szCs w:val="32"/>
        </w:rPr>
        <w:t>四川省教育厅认定</w:t>
      </w:r>
      <w:r>
        <w:rPr>
          <w:rFonts w:ascii="宋体" w:hAnsi="宋体" w:eastAsia="宋体" w:cs="Arial"/>
          <w:snapToGrid w:val="0"/>
          <w:sz w:val="32"/>
          <w:szCs w:val="32"/>
        </w:rPr>
        <w:t>为</w:t>
      </w:r>
      <w:r>
        <w:rPr>
          <w:rFonts w:ascii="宋体" w:hAnsi="宋体" w:eastAsia="宋体" w:cstheme="minorBidi"/>
          <w:b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  <w:t>省级精品在线</w:t>
      </w:r>
      <w:r>
        <w:rPr>
          <w:rFonts w:hint="eastAsia" w:ascii="宋体" w:hAnsi="宋体" w:eastAsia="宋体" w:cstheme="minorBidi"/>
          <w:b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  <w:t>开放</w:t>
      </w:r>
      <w:r>
        <w:rPr>
          <w:rFonts w:ascii="宋体" w:hAnsi="宋体" w:eastAsia="宋体" w:cstheme="minorBidi"/>
          <w:b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  <w:t>课程</w:t>
      </w:r>
      <w:r>
        <w:rPr>
          <w:rFonts w:hint="eastAsia" w:ascii="宋体" w:hAnsi="宋体" w:eastAsia="宋体" w:cs="Arial"/>
          <w:snapToGrid w:val="0"/>
          <w:sz w:val="32"/>
          <w:szCs w:val="32"/>
        </w:rPr>
        <w:t>。（川教函〔</w:t>
      </w:r>
      <w:r>
        <w:rPr>
          <w:rFonts w:ascii="宋体" w:hAnsi="宋体" w:eastAsia="宋体" w:cs="Arial"/>
          <w:snapToGrid w:val="0"/>
          <w:sz w:val="32"/>
          <w:szCs w:val="32"/>
        </w:rPr>
        <w:t>2019</w:t>
      </w:r>
      <w:r>
        <w:rPr>
          <w:rFonts w:hint="eastAsia" w:ascii="宋体" w:hAnsi="宋体" w:eastAsia="宋体" w:cs="Arial"/>
          <w:snapToGrid w:val="0"/>
          <w:sz w:val="32"/>
          <w:szCs w:val="32"/>
        </w:rPr>
        <w:t>〕</w:t>
      </w:r>
      <w:r>
        <w:rPr>
          <w:rFonts w:ascii="宋体" w:hAnsi="宋体" w:eastAsia="宋体" w:cs="Arial"/>
          <w:snapToGrid w:val="0"/>
          <w:sz w:val="32"/>
          <w:szCs w:val="32"/>
        </w:rPr>
        <w:t>541</w:t>
      </w:r>
      <w:r>
        <w:rPr>
          <w:rFonts w:hint="eastAsia" w:ascii="宋体" w:hAnsi="宋体" w:eastAsia="宋体" w:cs="Arial"/>
          <w:snapToGrid w:val="0"/>
          <w:sz w:val="32"/>
          <w:szCs w:val="32"/>
        </w:rPr>
        <w:t>号</w:t>
      </w:r>
      <w:r>
        <w:rPr>
          <w:rFonts w:ascii="宋体" w:hAnsi="宋体" w:eastAsia="宋体" w:cs="Arial"/>
          <w:snapToGrid w:val="0"/>
          <w:sz w:val="32"/>
          <w:szCs w:val="32"/>
        </w:rPr>
        <w:t>）</w:t>
      </w:r>
    </w:p>
    <w:p w14:paraId="44D43C79">
      <w:pPr>
        <w:tabs>
          <w:tab w:val="left" w:pos="5207"/>
          <w:tab w:val="left" w:pos="6152"/>
          <w:tab w:val="left" w:pos="7097"/>
        </w:tabs>
        <w:spacing w:line="360" w:lineRule="auto"/>
        <w:ind w:firstLine="640" w:firstLineChars="200"/>
        <w:rPr>
          <w:rFonts w:ascii="宋体" w:hAnsi="宋体" w:eastAsia="宋体"/>
          <w:sz w:val="32"/>
          <w:szCs w:val="32"/>
          <w:lang w:eastAsia="zh-CN"/>
        </w:rPr>
      </w:pPr>
      <w:r>
        <w:rPr>
          <w:rFonts w:ascii="宋体" w:hAnsi="宋体" w:eastAsia="宋体" w:cs="微软雅黑"/>
          <w:sz w:val="32"/>
          <w:szCs w:val="32"/>
          <w:lang w:eastAsia="zh-CN"/>
        </w:rPr>
        <w:t>7.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王刚负责的</w:t>
      </w:r>
      <w:r>
        <w:rPr>
          <w:rFonts w:hint="eastAsia" w:ascii="宋体" w:hAnsi="宋体" w:eastAsia="宋体" w:cs="微软雅黑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计算机网络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被四川省教育厅认定为四川</w:t>
      </w:r>
      <w:r>
        <w:rPr>
          <w:rFonts w:hint="eastAsia" w:ascii="宋体" w:hAnsi="宋体" w:eastAsia="宋体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省第三批课程思政示范课程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。（川教函〔</w:t>
      </w:r>
      <w:r>
        <w:rPr>
          <w:rFonts w:ascii="宋体" w:hAnsi="宋体" w:eastAsia="宋体"/>
          <w:sz w:val="32"/>
          <w:szCs w:val="32"/>
          <w:lang w:eastAsia="zh-CN"/>
        </w:rPr>
        <w:t>2022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〕</w:t>
      </w:r>
      <w:r>
        <w:rPr>
          <w:rFonts w:ascii="宋体" w:hAnsi="宋体" w:eastAsia="宋体"/>
          <w:sz w:val="32"/>
          <w:szCs w:val="32"/>
          <w:lang w:eastAsia="zh-CN"/>
        </w:rPr>
        <w:t xml:space="preserve">199 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号）</w:t>
      </w:r>
    </w:p>
    <w:p w14:paraId="4086C779">
      <w:pPr>
        <w:spacing w:line="360" w:lineRule="auto"/>
        <w:ind w:firstLine="640" w:firstLineChars="200"/>
        <w:rPr>
          <w:rFonts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微软雅黑"/>
          <w:sz w:val="32"/>
          <w:szCs w:val="32"/>
          <w:lang w:eastAsia="zh-CN"/>
        </w:rPr>
        <w:t>8.</w:t>
      </w:r>
      <w:r>
        <w:rPr>
          <w:rFonts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2024</w:t>
      </w:r>
      <w:r>
        <w:rPr>
          <w:rFonts w:hint="eastAsia" w:ascii="宋体" w:hAnsi="宋体" w:eastAsia="宋体" w:cs="微软雅黑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年</w:t>
      </w:r>
      <w:r>
        <w:rPr>
          <w:rFonts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eastAsia" w:ascii="宋体" w:hAnsi="宋体" w:eastAsia="宋体" w:cs="微软雅黑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月</w:t>
      </w:r>
      <w:r>
        <w:rPr>
          <w:rFonts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19</w:t>
      </w:r>
      <w:r>
        <w:rPr>
          <w:rFonts w:hint="eastAsia" w:ascii="宋体" w:hAnsi="宋体" w:eastAsia="宋体" w:cs="微软雅黑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日，王刚、杨兴春主编的《</w:t>
      </w:r>
      <w:r>
        <w:rPr>
          <w:rFonts w:hint="eastAsia" w:ascii="宋体" w:hAnsi="宋体" w:eastAsia="宋体" w:cs="微软雅黑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计算机网络技术实践</w:t>
      </w:r>
      <w:r>
        <w:rPr>
          <w:rFonts w:hint="eastAsia" w:ascii="宋体" w:hAnsi="宋体" w:eastAsia="宋体" w:cs="微软雅黑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》，被四川省教育厅认定为四川</w:t>
      </w:r>
      <w:r>
        <w:rPr>
          <w:rFonts w:ascii="宋体" w:hAnsi="宋体" w:eastAsia="宋体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省</w:t>
      </w:r>
      <w:r>
        <w:rPr>
          <w:rFonts w:hint="eastAsia" w:ascii="宋体" w:hAnsi="宋体" w:eastAsia="宋体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首批应用型产教融合品牌教材</w:t>
      </w:r>
      <w:r>
        <w:rPr>
          <w:rFonts w:hint="eastAsia" w:ascii="宋体" w:hAnsi="宋体" w:eastAsia="宋体" w:cs="微软雅黑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微软雅黑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川教函【</w:t>
      </w:r>
      <w:r>
        <w:rPr>
          <w:rFonts w:hint="eastAsia"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2024</w:t>
      </w:r>
      <w:r>
        <w:rPr>
          <w:rFonts w:hint="eastAsia" w:ascii="宋体" w:hAnsi="宋体" w:eastAsia="宋体" w:cs="微软雅黑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】</w:t>
      </w:r>
      <w:r>
        <w:rPr>
          <w:rFonts w:hint="eastAsia"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69</w:t>
      </w:r>
      <w:r>
        <w:rPr>
          <w:rFonts w:hint="eastAsia" w:ascii="宋体" w:hAnsi="宋体" w:eastAsia="宋体" w:cs="微软雅黑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号</w:t>
      </w:r>
      <w:r>
        <w:rPr>
          <w:rFonts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)</w:t>
      </w:r>
    </w:p>
    <w:p w14:paraId="2AAAF814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5DA51EBA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（二）第三方评价。案例在应用效果、创新实践等方面得到的评价，如</w:t>
      </w:r>
      <w:r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用户评价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、</w:t>
      </w:r>
      <w:r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专家评审意见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、第三方检测认证、社会舆论正面评价等。（如有，应说明评价主体，信息来源等相关证明文件）</w:t>
      </w:r>
      <w:r>
        <w:rPr>
          <w:rFonts w:hint="eastAsia"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【杨兴春</w:t>
      </w:r>
      <w:r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负责】</w:t>
      </w:r>
    </w:p>
    <w:p w14:paraId="78F0C03B">
      <w:pPr>
        <w:widowControl w:val="0"/>
        <w:kinsoku/>
        <w:autoSpaceDE/>
        <w:autoSpaceDN/>
        <w:adjustRightInd/>
        <w:snapToGrid/>
        <w:spacing w:line="600" w:lineRule="exact"/>
        <w:ind w:firstLine="560" w:firstLineChars="200"/>
        <w:jc w:val="both"/>
        <w:textAlignment w:val="auto"/>
        <w:rPr>
          <w:rFonts w:ascii="仿宋" w:hAnsi="仿宋" w:eastAsia="仿宋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通过</w:t>
      </w:r>
      <w:r>
        <w:rPr>
          <w:rFonts w:ascii="仿宋" w:hAnsi="仿宋" w:eastAsia="仿宋" w:cs="Segoe U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仿宋" w:hAnsi="仿宋" w:eastAsia="仿宋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技术与网络课程教学的深度融合，</w:t>
      </w:r>
      <w:r>
        <w:rPr>
          <w:rFonts w:hint="eastAsia" w:ascii="仿宋" w:hAnsi="仿宋" w:eastAsia="仿宋" w:cs="Times New Roman"/>
          <w:snapToGrid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本</w:t>
      </w:r>
      <w:r>
        <w:rPr>
          <w:rFonts w:hint="eastAsia" w:ascii="仿宋" w:hAnsi="仿宋" w:eastAsia="仿宋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案例自实施以来，有效解决了学生在课程学习中的诸多痛点问题。绝大部分学生认为：在AI的辅助学习下，自身对网络理论知识的掌握更加牢固，网络实践能力提升更快，学习更为高效，创新能力得到很大提高。行业专家也认为：该典型案例通过AI技术在计算机网络课程教学中的创新应用，探索出了一条可复制、可推广的智能化教学路径，在提升教学质量、优化学生学习体验、实现个性化教学等方面取得了显著成效。学生评价意见和专家评价意见，详见附件1和附件2。</w:t>
      </w:r>
    </w:p>
    <w:p w14:paraId="7AAC41A0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0487E33B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（三）案例相关图片、视频等。（可附网盘或另提供附件）</w:t>
      </w:r>
      <w:r>
        <w:rPr>
          <w:rFonts w:hint="eastAsia"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【王刚</w:t>
      </w:r>
      <w:r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负责</w:t>
      </w:r>
      <w:r>
        <w:rPr>
          <w:rFonts w:hint="eastAsia"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 xml:space="preserve">  田</w:t>
      </w:r>
      <w:r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莹协助】</w:t>
      </w:r>
    </w:p>
    <w:sectPr>
      <w:footerReference r:id="rId7" w:type="default"/>
      <w:pgSz w:w="11906" w:h="16839"/>
      <w:pgMar w:top="1431" w:right="1710" w:bottom="1519" w:left="1785" w:header="0" w:footer="133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仿宋">
    <w:altName w:val="方正仿宋_GBK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汉仪书宋二KW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楷体">
    <w:altName w:val="汉仪楷体KW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Segoe UI">
    <w:altName w:val="苹方-简"/>
    <w:panose1 w:val="00000000000000000000"/>
    <w:charset w:val="00"/>
    <w:family w:val="swiss"/>
    <w:pitch w:val="default"/>
    <w:sig w:usb0="00000000" w:usb1="00000000" w:usb2="00000029" w:usb3="00000000" w:csb0="000001DF" w:csb1="00000000"/>
  </w:font>
  <w:font w:name="微软雅黑">
    <w:altName w:val="汉仪旗黑"/>
    <w:panose1 w:val="00000000000000000000"/>
    <w:charset w:val="86"/>
    <w:family w:val="swiss"/>
    <w:pitch w:val="default"/>
    <w:sig w:usb0="00000000" w:usb1="00000000" w:usb2="00000016" w:usb3="00000000" w:csb0="0004001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59981">
    <w:pPr>
      <w:spacing w:line="184" w:lineRule="auto"/>
      <w:rPr>
        <w:rFonts w:ascii="Times New Roman" w:hAnsi="Times New Roman" w:eastAsia="Times New Roman" w:cs="Times New Roman"/>
        <w:sz w:val="24"/>
        <w:szCs w:val="24"/>
      </w:rPr>
    </w:pPr>
    <w:r>
      <w:rPr>
        <w:sz w:val="24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82AE14">
                          <w:pPr>
                            <w:pStyle w:val="4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bVWnMqAgAAV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CbVWnM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82AE14">
                    <w:pPr>
                      <w:pStyle w:val="4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25E37">
    <w:pPr>
      <w:spacing w:line="184" w:lineRule="auto"/>
      <w:ind w:left="4117"/>
      <w:rPr>
        <w:rFonts w:ascii="Times New Roman" w:hAnsi="Times New Roman" w:eastAsia="Times New Roman" w:cs="Times New Roman"/>
        <w:sz w:val="20"/>
        <w:szCs w:val="20"/>
      </w:rPr>
    </w:pPr>
    <w:r>
      <w:rPr>
        <w:sz w:val="20"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A5833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A5833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B9161">
    <w:pPr>
      <w:spacing w:line="184" w:lineRule="auto"/>
      <w:ind w:left="4121"/>
      <w:rPr>
        <w:rFonts w:ascii="Times New Roman" w:hAnsi="Times New Roman" w:eastAsia="Times New Roman" w:cs="Times New Roman"/>
        <w:sz w:val="20"/>
        <w:szCs w:val="20"/>
      </w:rPr>
    </w:pPr>
    <w:r>
      <w:rPr>
        <w:sz w:val="20"/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E38D0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E38D0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172F9">
    <w:pPr>
      <w:spacing w:line="184" w:lineRule="auto"/>
      <w:ind w:left="4215"/>
      <w:rPr>
        <w:rFonts w:ascii="Times New Roman" w:hAnsi="Times New Roman" w:eastAsia="Times New Roman" w:cs="Times New Roman"/>
        <w:sz w:val="20"/>
        <w:szCs w:val="20"/>
      </w:rPr>
    </w:pPr>
    <w:r>
      <w:rPr>
        <w:sz w:val="20"/>
        <w:lang w:eastAsia="zh-CN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955B3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/o+UsAgAAV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yr+j5S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955B3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D6B4E">
    <w:pPr>
      <w:spacing w:line="184" w:lineRule="auto"/>
      <w:ind w:left="4122"/>
      <w:rPr>
        <w:rFonts w:ascii="Times New Roman" w:hAnsi="Times New Roman" w:eastAsia="Times New Roman" w:cs="Times New Roman"/>
        <w:sz w:val="20"/>
        <w:szCs w:val="20"/>
      </w:rPr>
    </w:pPr>
    <w:r>
      <w:rPr>
        <w:sz w:val="20"/>
        <w:lang w:eastAsia="zh-CN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F79CA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rd1wwq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Mrd1wwqAgAAVw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6F79CA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5E04EE"/>
    <w:multiLevelType w:val="singleLevel"/>
    <w:tmpl w:val="DD5E04E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NkNmJlYWM3ZTMwMjExYTljNTllMzc1ZmNjY2RjOTQifQ=="/>
    <w:docVar w:name="KSO_WPS_MARK_KEY" w:val="bf6c03d2-e919-451b-8e2a-6285d35c16b2"/>
  </w:docVars>
  <w:rsids>
    <w:rsidRoot w:val="00B86179"/>
    <w:rsid w:val="00024696"/>
    <w:rsid w:val="0008705D"/>
    <w:rsid w:val="00091128"/>
    <w:rsid w:val="000A0929"/>
    <w:rsid w:val="00137438"/>
    <w:rsid w:val="001402A1"/>
    <w:rsid w:val="001565FC"/>
    <w:rsid w:val="00186AF3"/>
    <w:rsid w:val="001C16AD"/>
    <w:rsid w:val="00211140"/>
    <w:rsid w:val="00235E97"/>
    <w:rsid w:val="00274E93"/>
    <w:rsid w:val="00285506"/>
    <w:rsid w:val="002C4F72"/>
    <w:rsid w:val="0031141A"/>
    <w:rsid w:val="00312CB9"/>
    <w:rsid w:val="0032180F"/>
    <w:rsid w:val="00327B17"/>
    <w:rsid w:val="003357CD"/>
    <w:rsid w:val="00344E44"/>
    <w:rsid w:val="00352882"/>
    <w:rsid w:val="00361883"/>
    <w:rsid w:val="00392356"/>
    <w:rsid w:val="00405404"/>
    <w:rsid w:val="00407F6A"/>
    <w:rsid w:val="00425C2C"/>
    <w:rsid w:val="0043248C"/>
    <w:rsid w:val="00433768"/>
    <w:rsid w:val="0047108F"/>
    <w:rsid w:val="00491496"/>
    <w:rsid w:val="004936DB"/>
    <w:rsid w:val="004C3B07"/>
    <w:rsid w:val="004F29B8"/>
    <w:rsid w:val="00520EA0"/>
    <w:rsid w:val="00532970"/>
    <w:rsid w:val="00554D62"/>
    <w:rsid w:val="005844D3"/>
    <w:rsid w:val="005954AA"/>
    <w:rsid w:val="005A2BE5"/>
    <w:rsid w:val="005A3207"/>
    <w:rsid w:val="005B7BD1"/>
    <w:rsid w:val="00605F50"/>
    <w:rsid w:val="00644535"/>
    <w:rsid w:val="006D07EF"/>
    <w:rsid w:val="00745E89"/>
    <w:rsid w:val="00745EEE"/>
    <w:rsid w:val="007C0858"/>
    <w:rsid w:val="007C45BA"/>
    <w:rsid w:val="00817DE8"/>
    <w:rsid w:val="00825638"/>
    <w:rsid w:val="008345A2"/>
    <w:rsid w:val="0087473E"/>
    <w:rsid w:val="00876B43"/>
    <w:rsid w:val="00897EB1"/>
    <w:rsid w:val="008A4D35"/>
    <w:rsid w:val="008A52A0"/>
    <w:rsid w:val="008C787C"/>
    <w:rsid w:val="00901B9C"/>
    <w:rsid w:val="00910E31"/>
    <w:rsid w:val="0098212E"/>
    <w:rsid w:val="00990797"/>
    <w:rsid w:val="009C46AC"/>
    <w:rsid w:val="009D3635"/>
    <w:rsid w:val="009E2018"/>
    <w:rsid w:val="009E78F2"/>
    <w:rsid w:val="00A536FB"/>
    <w:rsid w:val="00AA5930"/>
    <w:rsid w:val="00B152D7"/>
    <w:rsid w:val="00B2793E"/>
    <w:rsid w:val="00B31168"/>
    <w:rsid w:val="00B33649"/>
    <w:rsid w:val="00B40F84"/>
    <w:rsid w:val="00B86179"/>
    <w:rsid w:val="00B92E92"/>
    <w:rsid w:val="00BA5B02"/>
    <w:rsid w:val="00BD137F"/>
    <w:rsid w:val="00BF682A"/>
    <w:rsid w:val="00C24208"/>
    <w:rsid w:val="00C272A8"/>
    <w:rsid w:val="00C33769"/>
    <w:rsid w:val="00C372AA"/>
    <w:rsid w:val="00C923BD"/>
    <w:rsid w:val="00C94481"/>
    <w:rsid w:val="00CA1EED"/>
    <w:rsid w:val="00CF0B38"/>
    <w:rsid w:val="00D25013"/>
    <w:rsid w:val="00D257F9"/>
    <w:rsid w:val="00D3646B"/>
    <w:rsid w:val="00D36B64"/>
    <w:rsid w:val="00DA40C5"/>
    <w:rsid w:val="00DB0485"/>
    <w:rsid w:val="00DC20CE"/>
    <w:rsid w:val="00DD528A"/>
    <w:rsid w:val="00DF26E2"/>
    <w:rsid w:val="00DF54C1"/>
    <w:rsid w:val="00E336F4"/>
    <w:rsid w:val="00F43F08"/>
    <w:rsid w:val="00F45C94"/>
    <w:rsid w:val="00F55E5F"/>
    <w:rsid w:val="00F92655"/>
    <w:rsid w:val="00FA5DB6"/>
    <w:rsid w:val="00FC6FED"/>
    <w:rsid w:val="00FF5062"/>
    <w:rsid w:val="03687A87"/>
    <w:rsid w:val="06EE4206"/>
    <w:rsid w:val="097135CF"/>
    <w:rsid w:val="16591877"/>
    <w:rsid w:val="236553F8"/>
    <w:rsid w:val="299E3412"/>
    <w:rsid w:val="2F2560F8"/>
    <w:rsid w:val="2FE17B6E"/>
    <w:rsid w:val="30BE4AA7"/>
    <w:rsid w:val="37712FDC"/>
    <w:rsid w:val="56202A76"/>
    <w:rsid w:val="5BFF6C8C"/>
    <w:rsid w:val="5CAF6599"/>
    <w:rsid w:val="5FF7D2BD"/>
    <w:rsid w:val="65A2C9EB"/>
    <w:rsid w:val="716F2383"/>
    <w:rsid w:val="71FE548D"/>
    <w:rsid w:val="7342401A"/>
    <w:rsid w:val="77FF93C2"/>
    <w:rsid w:val="7CDFA069"/>
    <w:rsid w:val="7F7F93C7"/>
    <w:rsid w:val="BEC657CE"/>
    <w:rsid w:val="BECFB0B6"/>
    <w:rsid w:val="D797AB55"/>
    <w:rsid w:val="EBFC2E5B"/>
    <w:rsid w:val="FCFD2671"/>
    <w:rsid w:val="FF7A060E"/>
    <w:rsid w:val="FF9FA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semiHidden/>
    <w:qFormat/>
    <w:uiPriority w:val="0"/>
    <w:rPr>
      <w:rFonts w:ascii="仿宋" w:hAnsi="仿宋" w:eastAsia="仿宋" w:cs="仿宋"/>
      <w:sz w:val="31"/>
      <w:szCs w:val="31"/>
    </w:rPr>
  </w:style>
  <w:style w:type="paragraph" w:styleId="3">
    <w:name w:val="Balloon Text"/>
    <w:basedOn w:val="1"/>
    <w:link w:val="13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6">
    <w:name w:val="Normal (Web)"/>
    <w:basedOn w:val="1"/>
    <w:uiPriority w:val="0"/>
    <w:pPr>
      <w:spacing w:beforeAutospacing="1" w:afterAutospacing="1"/>
    </w:pPr>
    <w:rPr>
      <w:rFonts w:cs="Times New Roman"/>
      <w:sz w:val="24"/>
      <w:lang w:eastAsia="zh-CN"/>
    </w:rPr>
  </w:style>
  <w:style w:type="character" w:styleId="9">
    <w:name w:val="Hyperlink"/>
    <w:basedOn w:val="8"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</w:style>
  <w:style w:type="character" w:customStyle="1" w:styleId="12">
    <w:name w:val="正文文本 字符"/>
    <w:basedOn w:val="8"/>
    <w:link w:val="2"/>
    <w:semiHidden/>
    <w:qFormat/>
    <w:uiPriority w:val="0"/>
    <w:rPr>
      <w:rFonts w:ascii="仿宋" w:hAnsi="仿宋" w:eastAsia="仿宋" w:cs="仿宋"/>
      <w:snapToGrid w:val="0"/>
      <w:color w:val="000000"/>
      <w:sz w:val="31"/>
      <w:szCs w:val="31"/>
      <w:lang w:eastAsia="en-US"/>
    </w:rPr>
  </w:style>
  <w:style w:type="character" w:customStyle="1" w:styleId="13">
    <w:name w:val="批注框文本 字符"/>
    <w:basedOn w:val="8"/>
    <w:link w:val="3"/>
    <w:qFormat/>
    <w:uiPriority w:val="0"/>
    <w:rPr>
      <w:rFonts w:eastAsia="Arial"/>
      <w:snapToGrid w:val="0"/>
      <w:color w:val="000000"/>
      <w:sz w:val="18"/>
      <w:szCs w:val="18"/>
      <w:lang w:eastAsia="en-US"/>
    </w:rPr>
  </w:style>
  <w:style w:type="paragraph" w:customStyle="1" w:styleId="14">
    <w:name w:val="Default"/>
    <w:uiPriority w:val="0"/>
    <w:pPr>
      <w:widowControl w:val="0"/>
      <w:autoSpaceDE w:val="0"/>
      <w:autoSpaceDN w:val="0"/>
      <w:adjustRightInd w:val="0"/>
    </w:pPr>
    <w:rPr>
      <w:rFonts w:ascii="仿宋_GB2312" w:hAnsi="Times New Roman" w:eastAsia="仿宋_GB2312" w:cs="仿宋_GB2312"/>
      <w:color w:val="000000"/>
      <w:sz w:val="24"/>
      <w:szCs w:val="24"/>
      <w:lang w:val="en-US" w:eastAsia="zh-CN" w:bidi="ar-SA"/>
    </w:rPr>
  </w:style>
  <w:style w:type="paragraph" w:styleId="15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BUPT</Company>
  <Pages>25</Pages>
  <Words>787</Words>
  <Characters>4488</Characters>
  <Lines>37</Lines>
  <Paragraphs>10</Paragraphs>
  <TotalTime>29</TotalTime>
  <ScaleCrop>false</ScaleCrop>
  <LinksUpToDate>false</LinksUpToDate>
  <CharactersWithSpaces>5265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2025-06-16T16:52:00Z</dcterms:created>
  <dc:creator>赵 晨</dc:creator>
  <cp:lastModifiedBy>，劉</cp:lastModifiedBy>
  <cp:lastPrinted>2025-06-03T10:23:00Z</cp:lastPrinted>
  <dcterms:modified xsi:type="dcterms:W3CDTF">2025-06-17T01:42:58Z</dcterms:modified>
  <dc:title>附件1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2024-01-12T18:31:47Z</vt:filetime>
  </property>
  <property fmtid="{D5CDD505-2E9C-101B-9397-08002B2CF9AE}" pid="4" name="KSOProductBuildVer">
    <vt:lpwstr>2052-7.5.1.8994</vt:lpwstr>
  </property>
  <property fmtid="{D5CDD505-2E9C-101B-9397-08002B2CF9AE}" pid="5" name="ICV">
    <vt:lpwstr>B10D3A6F4B4303ECD84E506836637CFE_43</vt:lpwstr>
  </property>
  <property fmtid="{D5CDD505-2E9C-101B-9397-08002B2CF9AE}" pid="6" name="KSOTemplateDocerSaveRecord">
    <vt:lpwstr>eyJoZGlkIjoiNGUzN2U0OGU4ODE3ZDkwZGUxMzQ4YTI3M2ZhMzRhNjUiLCJ1c2VySWQiOiIxNDg1NjQ2MzQ4In0=</vt:lpwstr>
  </property>
</Properties>
</file>