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6"/>
      </w:tblGrid>
      <w:tr>
        <w:tc>
          <w:tcPr>
            <w:tcW w:type="dxa" w:w="9746"/>
            <w:shd w:val="clear" w:color="auto" w:fill="0B1F3A"/>
          </w:tcPr>
          <w:p>
            <w:pPr>
              <w:spacing w:before="200"/>
            </w:pPr>
            <w:r>
              <w:rPr>
                <w:rFonts w:ascii="Poppins" w:hAnsi="Poppins" w:cs="Poppins" w:eastAsia="Poppins"/>
                <w:b/>
                <w:color w:val="B87333"/>
                <w:sz w:val="18"/>
              </w:rPr>
              <w:t>TESIS TORVESA · UPS</w:t>
            </w:r>
          </w:p>
          <w:p>
            <w:r>
              <w:rPr>
                <w:rFonts w:ascii="Poppins" w:hAnsi="Poppins" w:cs="Poppins" w:eastAsia="Poppins"/>
                <w:b/>
                <w:color w:val="FFFFFF"/>
                <w:sz w:val="44"/>
              </w:rPr>
              <w:t>Guía de Diego</w:t>
            </w:r>
          </w:p>
          <w:p>
            <w:r>
              <w:rPr>
                <w:rFonts w:ascii="Lato" w:hAnsi="Lato" w:cs="Lato" w:eastAsia="Lato"/>
                <w:color w:val="E6C3A0"/>
                <w:sz w:val="22"/>
              </w:rPr>
              <w:t>Versión v1.0</w:t>
            </w:r>
          </w:p>
          <w:p>
            <w:pPr>
              <w:spacing w:after="200"/>
            </w:pPr>
            <w:r>
              <w:rPr>
                <w:rFonts w:ascii="Lato" w:hAnsi="Lato" w:cs="Lato" w:eastAsia="Lato"/>
                <w:color w:val="CFD8E3"/>
                <w:sz w:val="18"/>
              </w:rPr>
              <w:t>2026-10-11</w:t>
            </w:r>
          </w:p>
        </w:tc>
      </w:tr>
    </w:tbl>
    <w:p/>
    <w:p>
      <w:pPr>
        <w:pStyle w:val="Heading1"/>
        <w:pBdr>
          <w:bottom w:val="single" w:sz="10" w:space="4" w:color="B87333"/>
        </w:pBdr>
      </w:pPr>
      <w:r>
        <w:t>1. El proyecto en 1 minuto</w:t>
      </w:r>
    </w:p>
    <w:p>
      <w:r>
        <w:rPr>
          <w:b/>
        </w:rPr>
        <w:t>Tema aprobado (29-sep-2026):</w:t>
      </w:r>
      <w:r>
        <w:rPr/>
        <w:t xml:space="preserve"> «Diseño de un sistema de automatización para la gestión comercial en la Constructora Torvesa». Es un Proyecto Técnico (DSR) en la carrera de Negocios Digitales de la UPS, con la tutora Ing. Tania Chicaiza.</w:t>
      </w:r>
    </w:p>
    <w:p>
      <w:r>
        <w:rPr>
          <w:b/>
        </w:rPr>
        <w:t>El problema:</w:t>
      </w:r>
      <w:r>
        <w:rPr/>
        <w:t xml:space="preserve"> en Torvesa cada cotización se arma casi desde cero, el historial de cada cliente vive en el teléfono del vendedor y las solicitudes esperan horas o días.</w:t>
      </w:r>
    </w:p>
    <w:p>
      <w:r>
        <w:rPr>
          <w:b/>
        </w:rPr>
        <w:t>Lo que diseñamos:</w:t>
      </w:r>
      <w:r>
        <w:rPr/>
        <w:t xml:space="preserve"> sobre TEAMSLASH (landing → API → PostgreSQL → Slack) se agregan tres componentes:</w:t>
      </w:r>
    </w:p>
    <w:p>
      <w:pPr>
        <w:pStyle w:val="ListNumber"/>
      </w:pPr>
      <w:r>
        <w:rPr/>
        <w:t xml:space="preserve">una </w:t>
      </w:r>
      <w:r>
        <w:rPr>
          <w:b/>
        </w:rPr>
        <w:t>bóveda Obsidian</w:t>
      </w:r>
      <w:r>
        <w:rPr/>
        <w:t xml:space="preserve"> con fichas, plantillas y cotizaciones;</w:t>
      </w:r>
    </w:p>
    <w:p>
      <w:pPr>
        <w:pStyle w:val="ListNumber"/>
      </w:pPr>
      <w:r>
        <w:rPr/>
        <w:t xml:space="preserve">un </w:t>
      </w:r>
      <w:r>
        <w:rPr>
          <w:b/>
        </w:rPr>
        <w:t>asistente de IA</w:t>
      </w:r>
      <w:r>
        <w:rPr/>
        <w:t xml:space="preserve"> que consulta la bóveda y propone borradores de cotización;</w:t>
      </w:r>
    </w:p>
    <w:p>
      <w:pPr>
        <w:pStyle w:val="ListNumber"/>
      </w:pPr>
      <w:r>
        <w:rPr/>
        <w:t xml:space="preserve">un </w:t>
      </w:r>
      <w:r>
        <w:rPr>
          <w:b/>
        </w:rPr>
        <w:t>registro de eventos verificable</w:t>
      </w:r>
      <w:r>
        <w:rPr/>
        <w:t>.</w:t>
      </w:r>
    </w:p>
    <w:p>
      <w:r>
        <w:rPr/>
        <w:t xml:space="preserve">Se valida en una </w:t>
      </w:r>
      <w:r>
        <w:rPr>
          <w:b/>
        </w:rPr>
        <w:t>operación experimental controlada</w:t>
      </w:r>
      <w:r>
        <w:rPr/>
        <w:t xml:space="preserve"> de 2 semanas (24-nov → 5-dic). </w:t>
      </w:r>
      <w:r>
        <w:rPr>
          <w:b/>
        </w:rPr>
        <w:t>Nunca se dice «implementado».</w:t>
      </w:r>
    </w:p>
    <w:p>
      <w:r>
        <w:rPr>
          <w:b/>
        </w:rPr>
        <w:t>Tu rol:</w:t>
      </w:r>
      <w:r>
        <w:rPr/>
        <w:t xml:space="preserve"> todo lo técnico y digital: bóveda del sistema, RAG, flujogramas (AS-IS/TO-BE), arquitectura, prueba de concepto, casos de prueba y pruebas.</w:t>
      </w:r>
    </w:p>
    <w:p>
      <w:r>
        <w:rPr>
          <w:b/>
        </w:rPr>
        <w:t>Rol de Víctor:</w:t>
      </w:r>
      <w:r>
        <w:rPr/>
        <w:t xml:space="preserve"> documento de tesis, investigación y fuentes, APA, instrumentos, análisis financiero, y la relación con la tutora y con Torvesa.</w:t>
      </w:r>
    </w:p>
    <w:tbl>
      <w:tblPr>
        <w:tblW w:type="auto" w:w="0"/>
        <w:tblLook w:firstColumn="1" w:firstRow="1" w:lastColumn="0" w:lastRow="0" w:noHBand="0" w:noVBand="1" w:val="04A0"/>
      </w:tblPr>
      <w:tblGrid>
        <w:gridCol w:w="9746"/>
      </w:tblGrid>
      <w:tr>
        <w:tc>
          <w:tcPr>
            <w:tcW w:type="dxa" w:w="9746"/>
            <w:shd w:val="clear" w:color="auto" w:fill="F7EDE3"/>
          </w:tcPr>
          <w:p>
            <w:r>
              <w:rPr/>
              <w:t xml:space="preserve"> </w:t>
            </w:r>
            <w:r>
              <w:rPr>
                <w:b/>
              </w:rPr>
              <w:t>Importante:</w:t>
            </w:r>
            <w:r>
              <w:rPr/>
              <w:t xml:space="preserve"> los datos del «diagnóstico N = 30» del proyecto integrador eran </w:t>
            </w:r>
            <w:r>
              <w:rPr>
                <w:b/>
              </w:rPr>
              <w:t>simulados</w:t>
            </w:r>
            <w:r>
              <w:rPr/>
              <w:t xml:space="preserve">. No se usan. La línea base real se levanta en campo el </w:t>
            </w:r>
            <w:r>
              <w:rPr>
                <w:b/>
              </w:rPr>
              <w:t>jueves 15 y el viernes 16 de octubre</w:t>
            </w:r>
            <w:r>
              <w:rPr/>
              <w:t>, y tú estás en el cronometraje y la muestra documental.</w:t>
            </w:r>
          </w:p>
        </w:tc>
      </w:tr>
    </w:tbl>
    <w:p/>
    <w:p>
      <w:pPr>
        <w:pStyle w:val="Heading1"/>
        <w:pBdr>
          <w:bottom w:val="single" w:sz="10" w:space="4" w:color="B87333"/>
        </w:pBdr>
      </w:pPr>
      <w:r>
        <w:t>2. Cómo está organizado el repo</w:t>
      </w:r>
    </w:p>
    <w:p>
      <w:r>
        <w:rPr/>
        <w:t xml:space="preserve">Empieza por el portal </w:t>
      </w:r>
      <w:r>
        <w:rPr>
          <w:rFonts w:ascii="Consolas" w:hAnsi="Consolas" w:cs="Consolas" w:eastAsia="Consolas"/>
          <w:color w:val="0B1F3A"/>
          <w:sz w:val="19"/>
        </w:rPr>
        <w:t>README.md</w:t>
      </w:r>
      <w:r>
        <w:rPr/>
        <w:t>. Tus carpetas:</w:t>
      </w:r>
    </w:p>
    <w:tbl>
      <w:tblPr>
        <w:tblStyle w:val="TableGrid"/>
        <w:tblW w:type="auto" w:w="0"/>
        <w:jc w:val="center"/>
        <w:tblLook w:firstColumn="1" w:firstRow="1" w:lastColumn="0" w:lastRow="0" w:noHBand="0" w:noVBand="1" w:val="04A0"/>
        <w:tblBorders>
          <w:top w:val="single" w:sz="4" w:color="B87333"/>
          <w:left w:val="single" w:sz="4" w:color="B87333"/>
          <w:bottom w:val="single" w:sz="4" w:color="B87333"/>
          <w:right w:val="single" w:sz="4" w:color="B87333"/>
          <w:insideH w:val="single" w:sz="4" w:color="C9A27E"/>
          <w:insideV w:val="single" w:sz="4" w:color="C9A27E"/>
        </w:tblBorders>
      </w:tblPr>
      <w:tblGrid>
        <w:gridCol w:w="4873"/>
        <w:gridCol w:w="4873"/>
      </w:tblGrid>
      <w:tr>
        <w:tc>
          <w:tcPr>
            <w:tcW w:type="dxa" w:w="4873"/>
            <w:shd w:val="clear" w:color="auto" w:fill="0B1F3A"/>
          </w:tcPr>
          <w:p>
            <w:pPr>
              <w:spacing w:after="20"/>
            </w:pPr>
            <w:r/>
            <w:r>
              <w:rPr>
                <w:rFonts w:ascii="Poppins" w:hAnsi="Poppins" w:cs="Poppins" w:eastAsia="Poppins"/>
                <w:b/>
                <w:color w:val="FFFFFF"/>
                <w:sz w:val="19"/>
              </w:rPr>
              <w:t>Carpeta</w:t>
            </w:r>
          </w:p>
        </w:tc>
        <w:tc>
          <w:tcPr>
            <w:tcW w:type="dxa" w:w="4873"/>
            <w:shd w:val="clear" w:color="auto" w:fill="0B1F3A"/>
          </w:tcPr>
          <w:p>
            <w:pPr>
              <w:spacing w:after="20"/>
            </w:pPr>
            <w:r/>
            <w:r>
              <w:rPr>
                <w:rFonts w:ascii="Poppins" w:hAnsi="Poppins" w:cs="Poppins" w:eastAsia="Poppins"/>
                <w:b/>
                <w:color w:val="FFFFFF"/>
                <w:sz w:val="19"/>
              </w:rPr>
              <w:t>Qué haces ahí</w:t>
            </w:r>
          </w:p>
        </w:tc>
      </w:tr>
      <w:tr>
        <w:tc>
          <w:tcPr>
            <w:tcW w:type="dxa" w:w="4873"/>
          </w:tcPr>
          <w:p>
            <w:pPr>
              <w:spacing w:after="20"/>
            </w:pPr>
            <w:r>
              <w:rPr>
                <w:sz w:val="19"/>
              </w:rPr>
            </w:r>
            <w:r>
              <w:rPr>
                <w:rFonts w:ascii="Consolas" w:hAnsi="Consolas" w:cs="Consolas" w:eastAsia="Consolas"/>
                <w:color w:val="0B1F3A"/>
                <w:sz w:val="19"/>
              </w:rPr>
              <w:t>07_Flujos_Diseno/</w:t>
            </w:r>
          </w:p>
        </w:tc>
        <w:tc>
          <w:tcPr>
            <w:tcW w:type="dxa" w:w="4873"/>
          </w:tcPr>
          <w:p>
            <w:pPr>
              <w:spacing w:after="20"/>
            </w:pPr>
            <w:r>
              <w:rPr>
                <w:sz w:val="19"/>
              </w:rPr>
            </w:r>
            <w:r>
              <w:rPr>
                <w:sz w:val="19"/>
              </w:rPr>
              <w:t>BPMN AS-IS/TO-BE, arquitectura, modelo de datos, inventario de herramientas</w:t>
            </w:r>
          </w:p>
        </w:tc>
      </w:tr>
      <w:tr>
        <w:tc>
          <w:tcPr>
            <w:tcW w:type="dxa" w:w="4873"/>
            <w:shd w:val="clear" w:color="auto" w:fill="EEF2F7"/>
          </w:tcPr>
          <w:p>
            <w:pPr>
              <w:spacing w:after="20"/>
            </w:pPr>
            <w:r>
              <w:rPr>
                <w:sz w:val="19"/>
              </w:rPr>
            </w:r>
            <w:r>
              <w:rPr>
                <w:rFonts w:ascii="Consolas" w:hAnsi="Consolas" w:cs="Consolas" w:eastAsia="Consolas"/>
                <w:color w:val="0B1F3A"/>
                <w:sz w:val="19"/>
              </w:rPr>
              <w:t>99_Scripts/</w:t>
            </w:r>
          </w:p>
        </w:tc>
        <w:tc>
          <w:tcPr>
            <w:tcW w:type="dxa" w:w="4873"/>
            <w:shd w:val="clear" w:color="auto" w:fill="EEF2F7"/>
          </w:tcPr>
          <w:p>
            <w:pPr>
              <w:spacing w:after="20"/>
            </w:pPr>
            <w:r>
              <w:rPr>
                <w:sz w:val="19"/>
              </w:rPr>
            </w:r>
            <w:r>
              <w:rPr>
                <w:sz w:val="19"/>
              </w:rPr>
              <w:t>RAG (</w:t>
            </w:r>
            <w:r>
              <w:rPr>
                <w:rFonts w:ascii="Consolas" w:hAnsi="Consolas" w:cs="Consolas" w:eastAsia="Consolas"/>
                <w:color w:val="0B1F3A"/>
                <w:sz w:val="19"/>
              </w:rPr>
              <w:t>rag/</w:t>
            </w:r>
            <w:r>
              <w:rPr>
                <w:sz w:val="19"/>
              </w:rPr>
              <w:t>), auditoría PII, sincronización con GitHub e informes (</w:t>
            </w:r>
            <w:r>
              <w:rPr>
                <w:rFonts w:ascii="Consolas" w:hAnsi="Consolas" w:cs="Consolas" w:eastAsia="Consolas"/>
                <w:color w:val="0B1F3A"/>
                <w:sz w:val="19"/>
              </w:rPr>
              <w:t>gestion/</w:t>
            </w:r>
            <w:r>
              <w:rPr>
                <w:sz w:val="19"/>
              </w:rPr>
              <w:t>)</w:t>
            </w:r>
          </w:p>
        </w:tc>
      </w:tr>
      <w:tr>
        <w:tc>
          <w:tcPr>
            <w:tcW w:type="dxa" w:w="4873"/>
          </w:tcPr>
          <w:p>
            <w:pPr>
              <w:spacing w:after="20"/>
            </w:pPr>
            <w:r>
              <w:rPr>
                <w:sz w:val="19"/>
              </w:rPr>
            </w:r>
            <w:r>
              <w:rPr>
                <w:rFonts w:ascii="Consolas" w:hAnsi="Consolas" w:cs="Consolas" w:eastAsia="Consolas"/>
                <w:color w:val="0B1F3A"/>
                <w:sz w:val="19"/>
              </w:rPr>
              <w:t>05_Datos_Campo/</w:t>
            </w:r>
          </w:p>
        </w:tc>
        <w:tc>
          <w:tcPr>
            <w:tcW w:type="dxa" w:w="4873"/>
          </w:tcPr>
          <w:p>
            <w:pPr>
              <w:spacing w:after="20"/>
            </w:pPr>
            <w:r>
              <w:rPr>
                <w:sz w:val="19"/>
              </w:rPr>
            </w:r>
            <w:r>
              <w:rPr>
                <w:sz w:val="19"/>
              </w:rPr>
              <w:t xml:space="preserve">análisis de los datos de campo (solo </w:t>
            </w:r>
            <w:r>
              <w:rPr>
                <w:b/>
                <w:sz w:val="19"/>
              </w:rPr>
              <w:t>anonimizados</w:t>
            </w:r>
            <w:r>
              <w:rPr>
                <w:sz w:val="19"/>
              </w:rPr>
              <w:t>)</w:t>
            </w:r>
          </w:p>
        </w:tc>
      </w:tr>
    </w:tbl>
    <w:p/>
    <w:p>
      <w:r>
        <w:rPr/>
        <w:t>Las demás carpetas son de Víctor o compartidas. Puedes leer y comentar en todas.</w:t>
      </w:r>
    </w:p>
    <w:p>
      <w:pPr>
        <w:pStyle w:val="Heading1"/>
        <w:pBdr>
          <w:bottom w:val="single" w:sz="10" w:space="4" w:color="B87333"/>
        </w:pBdr>
      </w:pPr>
      <w:r>
        <w:t>3. Tu primera semana, paso a paso</w:t>
      </w:r>
    </w:p>
    <w:p>
      <w:pPr>
        <w:pStyle w:val="ListNumber"/>
      </w:pPr>
      <w:r>
        <w:rPr>
          <w:b/>
        </w:rPr>
        <w:t>Acepta la invitación:</w:t>
      </w:r>
      <w:r>
        <w:rPr/>
        <w:t xml:space="preserve"> </w:t>
      </w:r>
      <w:hyperlink r:id="rId10">
        <w:r>
          <w:rPr>
            <w:color w:val="B87333"/>
            <w:u w:val="single"/>
          </w:rPr>
          <w:t xml:space="preserve">https://github.com/l333x/Tesis_Torvesa/invitations</w:t>
        </w:r>
      </w:hyperlink>
      <w:r>
        <w:rPr/>
        <w:t xml:space="preserve"> → </w:t>
      </w:r>
      <w:r>
        <w:rPr>
          <w:i/>
        </w:rPr>
        <w:t>Accept</w:t>
      </w:r>
      <w:r>
        <w:rPr/>
        <w:t>. Caduca a los 7 días del envío (11-oct).</w:t>
      </w:r>
    </w:p>
    <w:p>
      <w:pPr>
        <w:pStyle w:val="ListNumber"/>
      </w:pPr>
      <w:r>
        <w:rPr>
          <w:b/>
        </w:rPr>
        <w:t>Instala, inicia sesión y clona:</w:t>
      </w:r>
      <w:r>
        <w:rPr/>
        <w:t xml:space="preserve"> sigue la sección «Primera vez — Diego» de </w:t>
      </w:r>
      <w:r>
        <w:rPr>
          <w:rFonts w:ascii="Consolas" w:hAnsi="Consolas" w:cs="Consolas" w:eastAsia="Consolas"/>
          <w:color w:val="0B1F3A"/>
          <w:sz w:val="19"/>
        </w:rPr>
        <w:t>COLABORACION.md</w:t>
      </w:r>
      <w:r>
        <w:rPr/>
        <w:t>:</w:t>
      </w:r>
    </w:p>
    <w:p>
      <w:pPr>
        <w:pStyle w:val="ListBullet"/>
        <w:ind w:left="714"/>
      </w:pPr>
      <w:r>
        <w:rPr>
          <w:rFonts w:ascii="Consolas" w:hAnsi="Consolas" w:cs="Consolas" w:eastAsia="Consolas"/>
          <w:color w:val="0B1F3A"/>
          <w:sz w:val="19"/>
        </w:rPr>
        <w:t>gh auth login</w:t>
      </w:r>
      <w:r>
        <w:rPr/>
        <w:t xml:space="preserve"> con </w:t>
      </w:r>
      <w:r>
        <w:rPr>
          <w:b/>
        </w:rPr>
        <w:t>tu propia</w:t>
      </w:r>
      <w:r>
        <w:rPr/>
        <w:t xml:space="preserve"> clave SSH;</w:t>
      </w:r>
    </w:p>
    <w:p>
      <w:pPr>
        <w:pStyle w:val="ListBullet"/>
        <w:ind w:left="714"/>
      </w:pPr>
      <w:r>
        <w:rPr>
          <w:rFonts w:ascii="Consolas" w:hAnsi="Consolas" w:cs="Consolas" w:eastAsia="Consolas"/>
          <w:color w:val="0B1F3A"/>
          <w:sz w:val="19"/>
        </w:rPr>
        <w:t>gh repo clone l333x/Tesis_Torvesa</w:t>
      </w:r>
      <w:r>
        <w:rPr/>
        <w:t xml:space="preserve"> en una carpeta </w:t>
      </w:r>
      <w:r>
        <w:rPr>
          <w:b/>
        </w:rPr>
        <w:t>fuera de OneDrive</w:t>
      </w:r>
      <w:r>
        <w:rPr/>
        <w:t>;</w:t>
      </w:r>
    </w:p>
    <w:p>
      <w:pPr>
        <w:pStyle w:val="ListBullet"/>
        <w:ind w:left="714"/>
      </w:pPr>
      <w:r>
        <w:rPr/>
        <w:t>abre la carpeta como bóveda en Obsidian.</w:t>
      </w:r>
    </w:p>
    <w:p>
      <w:pPr>
        <w:pStyle w:val="ListNumber"/>
      </w:pPr>
      <w:r>
        <w:rPr>
          <w:b/>
        </w:rPr>
        <w:t>Levanta el RAG:</w:t>
      </w:r>
      <w:r>
        <w:rPr/>
        <w:t xml:space="preserve"> </w:t>
      </w:r>
      <w:r>
        <w:rPr>
          <w:rFonts w:ascii="Consolas" w:hAnsi="Consolas" w:cs="Consolas" w:eastAsia="Consolas"/>
          <w:color w:val="0B1F3A"/>
          <w:sz w:val="19"/>
        </w:rPr>
        <w:t>RAG_README.md</w:t>
      </w:r>
      <w:r>
        <w:rPr/>
        <w:t xml:space="preserve">. Comprueba que </w:t>
      </w:r>
      <w:r>
        <w:rPr>
          <w:rFonts w:ascii="Consolas" w:hAnsi="Consolas" w:cs="Consolas" w:eastAsia="Consolas"/>
          <w:color w:val="0B1F3A"/>
          <w:sz w:val="19"/>
        </w:rPr>
        <w:t>rag.py consultar "tiempo de elaboración de cotizaciones"</w:t>
      </w:r>
      <w:r>
        <w:rPr/>
        <w:t xml:space="preserve"> devuelva resultados.</w:t>
      </w:r>
    </w:p>
    <w:p>
      <w:pPr>
        <w:pStyle w:val="ListNumber"/>
      </w:pPr>
      <w:r>
        <w:rPr>
          <w:b/>
        </w:rPr>
        <w:t>Commit de prueba:</w:t>
      </w:r>
      <w:r>
        <w:rPr/>
        <w:t xml:space="preserve"> crea </w:t>
      </w:r>
      <w:r>
        <w:rPr>
          <w:rFonts w:ascii="Consolas" w:hAnsi="Consolas" w:cs="Consolas" w:eastAsia="Consolas"/>
          <w:color w:val="0B1F3A"/>
          <w:sz w:val="19"/>
        </w:rPr>
        <w:t>00_Inbox/hola_diego.md</w:t>
      </w:r>
      <w:r>
        <w:rPr/>
        <w:t xml:space="preserve">, haz commit con </w:t>
      </w:r>
      <w:r>
        <w:rPr>
          <w:rFonts w:ascii="Consolas" w:hAnsi="Consolas" w:cs="Consolas" w:eastAsia="Consolas"/>
          <w:color w:val="0B1F3A"/>
          <w:sz w:val="19"/>
        </w:rPr>
        <w:t>S1-10: commit de prueba (closes #10)</w:t>
      </w:r>
      <w:r>
        <w:rPr/>
        <w:t xml:space="preserve"> y push. Eso cierra tu primer issue.</w:t>
      </w:r>
    </w:p>
    <w:p>
      <w:pPr>
        <w:pStyle w:val="ListNumber"/>
      </w:pPr>
      <w:r>
        <w:rPr>
          <w:b/>
        </w:rPr>
        <w:t>Prepara el campo</w:t>
      </w:r>
      <w:r>
        <w:rPr/>
        <w:t xml:space="preserve"> (miércoles 14): lee </w:t>
      </w:r>
      <w:r>
        <w:rPr>
          <w:rFonts w:ascii="Consolas" w:hAnsi="Consolas" w:cs="Consolas" w:eastAsia="Consolas"/>
          <w:color w:val="0B1F3A"/>
          <w:sz w:val="19"/>
        </w:rPr>
        <w:t>04_Instrumentos/2026-10-11_P2_Protocolo_Cronometraje_v0.1.md</w:t>
      </w:r>
      <w:r>
        <w:rPr/>
        <w:t xml:space="preserve"> y </w:t>
      </w:r>
      <w:r>
        <w:rPr>
          <w:rFonts w:ascii="Consolas" w:hAnsi="Consolas" w:cs="Consolas" w:eastAsia="Consolas"/>
          <w:color w:val="0B1F3A"/>
          <w:sz w:val="19"/>
        </w:rPr>
        <w:t>2026-10-11_P1_Protocolo_Aplicacion_Procedencia_v0.1.md</w:t>
      </w:r>
      <w:r>
        <w:rPr/>
        <w:t>, e imprime las hojas de cronometraje.</w:t>
      </w:r>
    </w:p>
    <w:p>
      <w:pPr>
        <w:pStyle w:val="ListNumber"/>
      </w:pPr>
      <w:r>
        <w:rPr>
          <w:b/>
        </w:rPr>
        <w:t>Campo</w:t>
      </w:r>
      <w:r>
        <w:rPr/>
        <w:t xml:space="preserve"> (jueves 15 y viernes 16): cronometraje P2-A, muestra documental P2-B y apoyo en I2 (clientes). Llena el registro P1 en cada aplicación.</w:t>
      </w:r>
    </w:p>
    <w:p>
      <w:pPr>
        <w:pStyle w:val="ListNumber"/>
      </w:pPr>
      <w:r>
        <w:rPr>
          <w:b/>
        </w:rPr>
        <w:t>Fin de semana:</w:t>
      </w:r>
      <w:r>
        <w:rPr/>
        <w:t xml:space="preserve"> tabulación con Víctor. Los datos </w:t>
      </w:r>
      <w:r>
        <w:rPr>
          <w:b/>
        </w:rPr>
        <w:t>crudos</w:t>
      </w:r>
      <w:r>
        <w:rPr/>
        <w:t xml:space="preserve"> van a </w:t>
      </w:r>
      <w:r>
        <w:rPr>
          <w:rFonts w:ascii="Consolas" w:hAnsi="Consolas" w:cs="Consolas" w:eastAsia="Consolas"/>
          <w:color w:val="0B1F3A"/>
          <w:sz w:val="19"/>
        </w:rPr>
        <w:t>_crudo/</w:t>
      </w:r>
      <w:r>
        <w:rPr/>
        <w:t>; al repo solo suben los anonimizados, y antes de subir corres la auditoría.</w:t>
      </w:r>
    </w:p>
    <w:p>
      <w:pPr>
        <w:pStyle w:val="ListNumber"/>
      </w:pPr>
      <w:r>
        <w:rPr>
          <w:b/>
        </w:rPr>
        <w:t>Análisis de la bóveda 1</w:t>
      </w:r>
      <w:r>
        <w:rPr/>
        <w:t xml:space="preserve"> (#11): Víctor te comparte una copia de lectura de </w:t>
      </w:r>
      <w:r>
        <w:rPr>
          <w:rFonts w:ascii="Consolas" w:hAnsi="Consolas" w:cs="Consolas" w:eastAsia="Consolas"/>
          <w:color w:val="0B1F3A"/>
          <w:sz w:val="19"/>
        </w:rPr>
        <w:t>99_Sistema/</w:t>
      </w:r>
      <w:r>
        <w:rPr/>
        <w:t xml:space="preserve"> de su Segundo Cerebro (sin las carpetas CRISFE). Anota en </w:t>
      </w:r>
      <w:r>
        <w:rPr>
          <w:rFonts w:ascii="Consolas" w:hAnsi="Consolas" w:cs="Consolas" w:eastAsia="Consolas"/>
          <w:color w:val="0B1F3A"/>
          <w:sz w:val="19"/>
        </w:rPr>
        <w:t>07_Flujos_Diseno/ideas_boveda1.md</w:t>
      </w:r>
      <w:r>
        <w:rPr/>
        <w:t xml:space="preserve"> qué patrones reutilizar:</w:t>
      </w:r>
    </w:p>
    <w:p>
      <w:pPr>
        <w:pStyle w:val="ListBullet"/>
        <w:ind w:left="714"/>
      </w:pPr>
      <w:r>
        <w:rPr/>
        <w:t>ingestor con watchdog;</w:t>
      </w:r>
    </w:p>
    <w:p>
      <w:pPr>
        <w:pStyle w:val="ListBullet"/>
        <w:ind w:left="714"/>
      </w:pPr>
      <w:r>
        <w:rPr/>
        <w:t>enlazador de wikilinks;</w:t>
      </w:r>
    </w:p>
    <w:p>
      <w:pPr>
        <w:pStyle w:val="ListBullet"/>
        <w:ind w:left="714"/>
      </w:pPr>
      <w:r>
        <w:rPr/>
        <w:t>RAG con exclusiones;</w:t>
      </w:r>
    </w:p>
    <w:p>
      <w:pPr>
        <w:pStyle w:val="ListBullet"/>
        <w:ind w:left="714"/>
      </w:pPr>
      <w:r>
        <w:rPr/>
        <w:t>plantillas con frontmatter.</w:t>
      </w:r>
    </w:p>
    <w:p>
      <w:pPr>
        <w:pStyle w:val="Heading1"/>
        <w:pBdr>
          <w:bottom w:val="single" w:sz="10" w:space="4" w:color="B87333"/>
        </w:pBdr>
      </w:pPr>
      <w:r>
        <w:t>4. Tus tareas por semana</w:t>
      </w:r>
    </w:p>
    <w:p>
      <w:r>
        <w:rPr/>
        <w:t xml:space="preserve">Cada tarea es un issue. Ciérralo con </w:t>
      </w:r>
      <w:r>
        <w:rPr>
          <w:rFonts w:ascii="Consolas" w:hAnsi="Consolas" w:cs="Consolas" w:eastAsia="Consolas"/>
          <w:color w:val="0B1F3A"/>
          <w:sz w:val="19"/>
        </w:rPr>
        <w:t>closes #n</w:t>
      </w:r>
      <w:r>
        <w:rPr/>
        <w:t xml:space="preserve"> en el commit; Víctor marca el </w:t>
      </w:r>
      <w:r>
        <w:rPr>
          <w:rFonts w:ascii="Consolas" w:hAnsi="Consolas" w:cs="Consolas" w:eastAsia="Consolas"/>
          <w:color w:val="0B1F3A"/>
          <w:sz w:val="19"/>
        </w:rPr>
        <w:t>[x]</w:t>
      </w:r>
      <w:r>
        <w:rPr/>
        <w:t xml:space="preserve"> en el cronograma, o lo hace el script de sincronización.</w:t>
      </w:r>
    </w:p>
    <w:tbl>
      <w:tblPr>
        <w:tblStyle w:val="TableGrid"/>
        <w:tblW w:type="auto" w:w="0"/>
        <w:jc w:val="center"/>
        <w:tblLook w:firstColumn="1" w:firstRow="1" w:lastColumn="0" w:lastRow="0" w:noHBand="0" w:noVBand="1" w:val="04A0"/>
        <w:tblBorders>
          <w:top w:val="single" w:sz="4" w:color="B87333"/>
          <w:left w:val="single" w:sz="4" w:color="B87333"/>
          <w:bottom w:val="single" w:sz="4" w:color="B87333"/>
          <w:right w:val="single" w:sz="4" w:color="B87333"/>
          <w:insideH w:val="single" w:sz="4" w:color="C9A27E"/>
          <w:insideV w:val="single" w:sz="4" w:color="C9A27E"/>
        </w:tblBorders>
      </w:tblPr>
      <w:tblGrid>
        <w:gridCol w:w="3249"/>
        <w:gridCol w:w="3249"/>
        <w:gridCol w:w="3249"/>
      </w:tblGrid>
      <w:tr>
        <w:tc>
          <w:tcPr>
            <w:tcW w:type="dxa" w:w="3249"/>
            <w:shd w:val="clear" w:color="auto" w:fill="0B1F3A"/>
          </w:tcPr>
          <w:p>
            <w:pPr>
              <w:spacing w:after="20"/>
            </w:pPr>
            <w:r/>
            <w:r>
              <w:rPr>
                <w:rFonts w:ascii="Poppins" w:hAnsi="Poppins" w:cs="Poppins" w:eastAsia="Poppins"/>
                <w:b/>
                <w:color w:val="FFFFFF"/>
                <w:sz w:val="19"/>
              </w:rPr>
              <w:t>Semana</w:t>
            </w:r>
          </w:p>
        </w:tc>
        <w:tc>
          <w:tcPr>
            <w:tcW w:type="dxa" w:w="3249"/>
            <w:shd w:val="clear" w:color="auto" w:fill="0B1F3A"/>
          </w:tcPr>
          <w:p>
            <w:pPr>
              <w:spacing w:after="20"/>
            </w:pPr>
            <w:r/>
            <w:r>
              <w:rPr>
                <w:rFonts w:ascii="Poppins" w:hAnsi="Poppins" w:cs="Poppins" w:eastAsia="Poppins"/>
                <w:b/>
                <w:color w:val="FFFFFF"/>
                <w:sz w:val="19"/>
              </w:rPr>
              <w:t>Tarea</w:t>
            </w:r>
          </w:p>
        </w:tc>
        <w:tc>
          <w:tcPr>
            <w:tcW w:type="dxa" w:w="3249"/>
            <w:shd w:val="clear" w:color="auto" w:fill="0B1F3A"/>
          </w:tcPr>
          <w:p>
            <w:pPr>
              <w:spacing w:after="20"/>
            </w:pPr>
            <w:r/>
            <w:r>
              <w:rPr>
                <w:rFonts w:ascii="Poppins" w:hAnsi="Poppins" w:cs="Poppins" w:eastAsia="Poppins"/>
                <w:b/>
                <w:color w:val="FFFFFF"/>
                <w:sz w:val="19"/>
              </w:rPr>
              <w:t>Issue</w:t>
            </w:r>
          </w:p>
        </w:tc>
      </w:tr>
      <w:tr>
        <w:tc>
          <w:tcPr>
            <w:tcW w:type="dxa" w:w="3249"/>
          </w:tcPr>
          <w:p>
            <w:pPr>
              <w:spacing w:after="20"/>
            </w:pPr>
            <w:r>
              <w:rPr>
                <w:sz w:val="19"/>
              </w:rPr>
            </w:r>
            <w:r>
              <w:rPr>
                <w:sz w:val="19"/>
              </w:rPr>
              <w:t>S1 · 12–18 oct</w:t>
            </w:r>
          </w:p>
        </w:tc>
        <w:tc>
          <w:tcPr>
            <w:tcW w:type="dxa" w:w="3249"/>
          </w:tcPr>
          <w:p>
            <w:pPr>
              <w:spacing w:after="20"/>
            </w:pPr>
            <w:r>
              <w:rPr>
                <w:sz w:val="19"/>
              </w:rPr>
            </w:r>
            <w:r>
              <w:rPr>
                <w:sz w:val="19"/>
              </w:rPr>
              <w:t>Campo: I2 clientes + cronometraje P2-A + muestra P2-B</w:t>
            </w:r>
          </w:p>
        </w:tc>
        <w:tc>
          <w:tcPr>
            <w:tcW w:type="dxa" w:w="3249"/>
          </w:tcPr>
          <w:p>
            <w:pPr>
              <w:spacing w:after="20"/>
            </w:pPr>
            <w:r>
              <w:rPr>
                <w:sz w:val="19"/>
              </w:rPr>
            </w:r>
            <w:hyperlink r:id="rId11">
              <w:r>
                <w:rPr>
                  <w:color w:val="B87333"/>
                  <w:u w:val="single"/>
                </w:rPr>
                <w:t xml:space="preserve">#9</w:t>
              </w:r>
            </w:hyperlink>
          </w:p>
        </w:tc>
      </w:tr>
      <w:tr>
        <w:tc>
          <w:tcPr>
            <w:tcW w:type="dxa" w:w="3249"/>
            <w:shd w:val="clear" w:color="auto" w:fill="EEF2F7"/>
          </w:tcPr>
          <w:p>
            <w:pPr>
              <w:spacing w:after="20"/>
            </w:pPr>
            <w:r>
              <w:rPr>
                <w:sz w:val="19"/>
              </w:rPr>
            </w:r>
          </w:p>
        </w:tc>
        <w:tc>
          <w:tcPr>
            <w:tcW w:type="dxa" w:w="3249"/>
            <w:shd w:val="clear" w:color="auto" w:fill="EEF2F7"/>
          </w:tcPr>
          <w:p>
            <w:pPr>
              <w:spacing w:after="20"/>
            </w:pPr>
            <w:r>
              <w:rPr>
                <w:sz w:val="19"/>
              </w:rPr>
            </w:r>
            <w:r>
              <w:rPr>
                <w:sz w:val="19"/>
              </w:rPr>
              <w:t>Aceptar la invitación, clonar y levantar el RAG</w:t>
            </w:r>
          </w:p>
        </w:tc>
        <w:tc>
          <w:tcPr>
            <w:tcW w:type="dxa" w:w="3249"/>
            <w:shd w:val="clear" w:color="auto" w:fill="EEF2F7"/>
          </w:tcPr>
          <w:p>
            <w:pPr>
              <w:spacing w:after="20"/>
            </w:pPr>
            <w:r>
              <w:rPr>
                <w:sz w:val="19"/>
              </w:rPr>
            </w:r>
            <w:hyperlink r:id="rId12">
              <w:r>
                <w:rPr>
                  <w:color w:val="B87333"/>
                  <w:u w:val="single"/>
                </w:rPr>
                <w:t xml:space="preserve">#10</w:t>
              </w:r>
            </w:hyperlink>
          </w:p>
        </w:tc>
      </w:tr>
      <w:tr>
        <w:tc>
          <w:tcPr>
            <w:tcW w:type="dxa" w:w="3249"/>
          </w:tcPr>
          <w:p>
            <w:pPr>
              <w:spacing w:after="20"/>
            </w:pPr>
            <w:r>
              <w:rPr>
                <w:sz w:val="19"/>
              </w:rPr>
            </w:r>
          </w:p>
        </w:tc>
        <w:tc>
          <w:tcPr>
            <w:tcW w:type="dxa" w:w="3249"/>
          </w:tcPr>
          <w:p>
            <w:pPr>
              <w:spacing w:after="20"/>
            </w:pPr>
            <w:r>
              <w:rPr>
                <w:sz w:val="19"/>
              </w:rPr>
            </w:r>
            <w:r>
              <w:rPr>
                <w:sz w:val="19"/>
              </w:rPr>
              <w:t>Analizar la bóveda 1 y extraer ideas</w:t>
            </w:r>
          </w:p>
        </w:tc>
        <w:tc>
          <w:tcPr>
            <w:tcW w:type="dxa" w:w="3249"/>
          </w:tcPr>
          <w:p>
            <w:pPr>
              <w:spacing w:after="20"/>
            </w:pPr>
            <w:r>
              <w:rPr>
                <w:sz w:val="19"/>
              </w:rPr>
            </w:r>
            <w:hyperlink r:id="rId13">
              <w:r>
                <w:rPr>
                  <w:color w:val="B87333"/>
                  <w:u w:val="single"/>
                </w:rPr>
                <w:t xml:space="preserve">#11</w:t>
              </w:r>
            </w:hyperlink>
          </w:p>
        </w:tc>
      </w:tr>
      <w:tr>
        <w:tc>
          <w:tcPr>
            <w:tcW w:type="dxa" w:w="3249"/>
            <w:shd w:val="clear" w:color="auto" w:fill="EEF2F7"/>
          </w:tcPr>
          <w:p>
            <w:pPr>
              <w:spacing w:after="20"/>
            </w:pPr>
            <w:r>
              <w:rPr>
                <w:sz w:val="19"/>
              </w:rPr>
            </w:r>
          </w:p>
        </w:tc>
        <w:tc>
          <w:tcPr>
            <w:tcW w:type="dxa" w:w="3249"/>
            <w:shd w:val="clear" w:color="auto" w:fill="EEF2F7"/>
          </w:tcPr>
          <w:p>
            <w:pPr>
              <w:spacing w:after="20"/>
            </w:pPr>
            <w:r>
              <w:rPr>
                <w:sz w:val="19"/>
              </w:rPr>
            </w:r>
            <w:r>
              <w:rPr>
                <w:sz w:val="19"/>
              </w:rPr>
              <w:t>Tabulación y consolidación (con Víctor)</w:t>
            </w:r>
          </w:p>
        </w:tc>
        <w:tc>
          <w:tcPr>
            <w:tcW w:type="dxa" w:w="3249"/>
            <w:shd w:val="clear" w:color="auto" w:fill="EEF2F7"/>
          </w:tcPr>
          <w:p>
            <w:pPr>
              <w:spacing w:after="20"/>
            </w:pPr>
            <w:r>
              <w:rPr>
                <w:sz w:val="19"/>
              </w:rPr>
            </w:r>
            <w:hyperlink r:id="rId14">
              <w:r>
                <w:rPr>
                  <w:color w:val="B87333"/>
                  <w:u w:val="single"/>
                </w:rPr>
                <w:t xml:space="preserve">#12</w:t>
              </w:r>
            </w:hyperlink>
          </w:p>
        </w:tc>
      </w:tr>
      <w:tr>
        <w:tc>
          <w:tcPr>
            <w:tcW w:type="dxa" w:w="3249"/>
          </w:tcPr>
          <w:p>
            <w:pPr>
              <w:spacing w:after="20"/>
            </w:pPr>
            <w:r>
              <w:rPr>
                <w:sz w:val="19"/>
              </w:rPr>
            </w:r>
            <w:r>
              <w:rPr>
                <w:sz w:val="19"/>
              </w:rPr>
              <w:t>S2 · 19–25 oct</w:t>
            </w:r>
          </w:p>
        </w:tc>
        <w:tc>
          <w:tcPr>
            <w:tcW w:type="dxa" w:w="3249"/>
          </w:tcPr>
          <w:p>
            <w:pPr>
              <w:spacing w:after="20"/>
            </w:pPr>
            <w:r>
              <w:rPr>
                <w:sz w:val="19"/>
              </w:rPr>
            </w:r>
            <w:r>
              <w:rPr>
                <w:sz w:val="19"/>
              </w:rPr>
              <w:t>Análisis descriptivo de los datos de campo</w:t>
            </w:r>
          </w:p>
        </w:tc>
        <w:tc>
          <w:tcPr>
            <w:tcW w:type="dxa" w:w="3249"/>
          </w:tcPr>
          <w:p>
            <w:pPr>
              <w:spacing w:after="20"/>
            </w:pPr>
            <w:r>
              <w:rPr>
                <w:sz w:val="19"/>
              </w:rPr>
            </w:r>
            <w:hyperlink r:id="rId15">
              <w:r>
                <w:rPr>
                  <w:color w:val="B87333"/>
                  <w:u w:val="single"/>
                </w:rPr>
                <w:t xml:space="preserve">#16</w:t>
              </w:r>
            </w:hyperlink>
          </w:p>
        </w:tc>
      </w:tr>
      <w:tr>
        <w:tc>
          <w:tcPr>
            <w:tcW w:type="dxa" w:w="3249"/>
            <w:shd w:val="clear" w:color="auto" w:fill="EEF2F7"/>
          </w:tcPr>
          <w:p>
            <w:pPr>
              <w:spacing w:after="20"/>
            </w:pPr>
            <w:r>
              <w:rPr>
                <w:sz w:val="19"/>
              </w:rPr>
            </w:r>
          </w:p>
        </w:tc>
        <w:tc>
          <w:tcPr>
            <w:tcW w:type="dxa" w:w="3249"/>
            <w:shd w:val="clear" w:color="auto" w:fill="EEF2F7"/>
          </w:tcPr>
          <w:p>
            <w:pPr>
              <w:spacing w:after="20"/>
            </w:pPr>
            <w:r>
              <w:rPr>
                <w:sz w:val="19"/>
              </w:rPr>
            </w:r>
            <w:r>
              <w:rPr>
                <w:sz w:val="19"/>
              </w:rPr>
              <w:t>Mapa del proceso AS-IS (BPMN)</w:t>
            </w:r>
          </w:p>
        </w:tc>
        <w:tc>
          <w:tcPr>
            <w:tcW w:type="dxa" w:w="3249"/>
            <w:shd w:val="clear" w:color="auto" w:fill="EEF2F7"/>
          </w:tcPr>
          <w:p>
            <w:pPr>
              <w:spacing w:after="20"/>
            </w:pPr>
            <w:r>
              <w:rPr>
                <w:sz w:val="19"/>
              </w:rPr>
            </w:r>
            <w:hyperlink r:id="rId16">
              <w:r>
                <w:rPr>
                  <w:color w:val="B87333"/>
                  <w:u w:val="single"/>
                </w:rPr>
                <w:t xml:space="preserve">#17</w:t>
              </w:r>
            </w:hyperlink>
          </w:p>
        </w:tc>
      </w:tr>
      <w:tr>
        <w:tc>
          <w:tcPr>
            <w:tcW w:type="dxa" w:w="3249"/>
          </w:tcPr>
          <w:p>
            <w:pPr>
              <w:spacing w:after="20"/>
            </w:pPr>
            <w:r>
              <w:rPr>
                <w:sz w:val="19"/>
              </w:rPr>
            </w:r>
          </w:p>
        </w:tc>
        <w:tc>
          <w:tcPr>
            <w:tcW w:type="dxa" w:w="3249"/>
          </w:tcPr>
          <w:p>
            <w:pPr>
              <w:spacing w:after="20"/>
            </w:pPr>
            <w:r>
              <w:rPr>
                <w:sz w:val="19"/>
              </w:rPr>
            </w:r>
            <w:r>
              <w:rPr>
                <w:sz w:val="19"/>
              </w:rPr>
              <w:t>Inventario de herramientas candidatas con criterios</w:t>
            </w:r>
          </w:p>
        </w:tc>
        <w:tc>
          <w:tcPr>
            <w:tcW w:type="dxa" w:w="3249"/>
          </w:tcPr>
          <w:p>
            <w:pPr>
              <w:spacing w:after="20"/>
            </w:pPr>
            <w:r>
              <w:rPr>
                <w:sz w:val="19"/>
              </w:rPr>
            </w:r>
            <w:hyperlink r:id="rId17">
              <w:r>
                <w:rPr>
                  <w:color w:val="B87333"/>
                  <w:u w:val="single"/>
                </w:rPr>
                <w:t xml:space="preserve">#18</w:t>
              </w:r>
            </w:hyperlink>
          </w:p>
        </w:tc>
      </w:tr>
      <w:tr>
        <w:tc>
          <w:tcPr>
            <w:tcW w:type="dxa" w:w="3249"/>
            <w:shd w:val="clear" w:color="auto" w:fill="EEF2F7"/>
          </w:tcPr>
          <w:p>
            <w:pPr>
              <w:spacing w:after="20"/>
            </w:pPr>
            <w:r>
              <w:rPr>
                <w:sz w:val="19"/>
              </w:rPr>
            </w:r>
            <w:r>
              <w:rPr>
                <w:sz w:val="19"/>
              </w:rPr>
              <w:t>S3 · 26–30 oct</w:t>
            </w:r>
          </w:p>
        </w:tc>
        <w:tc>
          <w:tcPr>
            <w:tcW w:type="dxa" w:w="3249"/>
            <w:shd w:val="clear" w:color="auto" w:fill="EEF2F7"/>
          </w:tcPr>
          <w:p>
            <w:pPr>
              <w:spacing w:after="20"/>
            </w:pPr>
            <w:r>
              <w:rPr>
                <w:sz w:val="19"/>
              </w:rPr>
            </w:r>
            <w:r>
              <w:rPr>
                <w:sz w:val="19"/>
              </w:rPr>
              <w:t>AS-IS y datos listos para la Revisión 1</w:t>
            </w:r>
          </w:p>
        </w:tc>
        <w:tc>
          <w:tcPr>
            <w:tcW w:type="dxa" w:w="3249"/>
            <w:shd w:val="clear" w:color="auto" w:fill="EEF2F7"/>
          </w:tcPr>
          <w:p>
            <w:pPr>
              <w:spacing w:after="20"/>
            </w:pPr>
            <w:r>
              <w:rPr>
                <w:sz w:val="19"/>
              </w:rPr>
            </w:r>
            <w:hyperlink r:id="rId18">
              <w:r>
                <w:rPr>
                  <w:color w:val="B87333"/>
                  <w:u w:val="single"/>
                </w:rPr>
                <w:t xml:space="preserve">#21</w:t>
              </w:r>
            </w:hyperlink>
          </w:p>
        </w:tc>
      </w:tr>
      <w:tr>
        <w:tc>
          <w:tcPr>
            <w:tcW w:type="dxa" w:w="3249"/>
          </w:tcPr>
          <w:p>
            <w:pPr>
              <w:spacing w:after="20"/>
            </w:pPr>
            <w:r>
              <w:rPr>
                <w:sz w:val="19"/>
              </w:rPr>
            </w:r>
            <w:r>
              <w:rPr>
                <w:sz w:val="19"/>
              </w:rPr>
              <w:t>S4 · 2–8 nov</w:t>
            </w:r>
          </w:p>
        </w:tc>
        <w:tc>
          <w:tcPr>
            <w:tcW w:type="dxa" w:w="3249"/>
          </w:tcPr>
          <w:p>
            <w:pPr>
              <w:spacing w:after="20"/>
            </w:pPr>
            <w:r>
              <w:rPr>
                <w:sz w:val="19"/>
              </w:rPr>
            </w:r>
            <w:r>
              <w:rPr>
                <w:sz w:val="19"/>
              </w:rPr>
              <w:t>Flujogramas TO-BE (2–4 nov)</w:t>
            </w:r>
          </w:p>
        </w:tc>
        <w:tc>
          <w:tcPr>
            <w:tcW w:type="dxa" w:w="3249"/>
          </w:tcPr>
          <w:p>
            <w:pPr>
              <w:spacing w:after="20"/>
            </w:pPr>
            <w:r>
              <w:rPr>
                <w:sz w:val="19"/>
              </w:rPr>
            </w:r>
            <w:hyperlink r:id="rId19">
              <w:r>
                <w:rPr>
                  <w:color w:val="B87333"/>
                  <w:u w:val="single"/>
                </w:rPr>
                <w:t xml:space="preserve">#22</w:t>
              </w:r>
            </w:hyperlink>
          </w:p>
        </w:tc>
      </w:tr>
      <w:tr>
        <w:tc>
          <w:tcPr>
            <w:tcW w:type="dxa" w:w="3249"/>
            <w:shd w:val="clear" w:color="auto" w:fill="EEF2F7"/>
          </w:tcPr>
          <w:p>
            <w:pPr>
              <w:spacing w:after="20"/>
            </w:pPr>
            <w:r>
              <w:rPr>
                <w:sz w:val="19"/>
              </w:rPr>
            </w:r>
          </w:p>
        </w:tc>
        <w:tc>
          <w:tcPr>
            <w:tcW w:type="dxa" w:w="3249"/>
            <w:shd w:val="clear" w:color="auto" w:fill="EEF2F7"/>
          </w:tcPr>
          <w:p>
            <w:pPr>
              <w:spacing w:after="20"/>
            </w:pPr>
            <w:r>
              <w:rPr>
                <w:sz w:val="19"/>
              </w:rPr>
            </w:r>
            <w:r>
              <w:rPr>
                <w:sz w:val="19"/>
              </w:rPr>
              <w:t>Levantar la bóveda del sistema desde los flujos aprobados (5–8 nov)</w:t>
            </w:r>
          </w:p>
        </w:tc>
        <w:tc>
          <w:tcPr>
            <w:tcW w:type="dxa" w:w="3249"/>
            <w:shd w:val="clear" w:color="auto" w:fill="EEF2F7"/>
          </w:tcPr>
          <w:p>
            <w:pPr>
              <w:spacing w:after="20"/>
            </w:pPr>
            <w:r>
              <w:rPr>
                <w:sz w:val="19"/>
              </w:rPr>
            </w:r>
            <w:hyperlink r:id="rId20">
              <w:r>
                <w:rPr>
                  <w:color w:val="B87333"/>
                  <w:u w:val="single"/>
                </w:rPr>
                <w:t xml:space="preserve">#24</w:t>
              </w:r>
            </w:hyperlink>
          </w:p>
        </w:tc>
      </w:tr>
      <w:tr>
        <w:tc>
          <w:tcPr>
            <w:tcW w:type="dxa" w:w="3249"/>
          </w:tcPr>
          <w:p>
            <w:pPr>
              <w:spacing w:after="20"/>
            </w:pPr>
            <w:r>
              <w:rPr>
                <w:sz w:val="19"/>
              </w:rPr>
            </w:r>
            <w:r>
              <w:rPr>
                <w:sz w:val="19"/>
              </w:rPr>
              <w:t>S5 · 9–15 nov</w:t>
            </w:r>
          </w:p>
        </w:tc>
        <w:tc>
          <w:tcPr>
            <w:tcW w:type="dxa" w:w="3249"/>
          </w:tcPr>
          <w:p>
            <w:pPr>
              <w:spacing w:after="20"/>
            </w:pPr>
            <w:r>
              <w:rPr>
                <w:sz w:val="19"/>
              </w:rPr>
            </w:r>
            <w:r>
              <w:rPr>
                <w:sz w:val="19"/>
              </w:rPr>
              <w:t>Prueba de concepto: front conversacional → back → bóveda</w:t>
            </w:r>
          </w:p>
        </w:tc>
        <w:tc>
          <w:tcPr>
            <w:tcW w:type="dxa" w:w="3249"/>
          </w:tcPr>
          <w:p>
            <w:pPr>
              <w:spacing w:after="20"/>
            </w:pPr>
            <w:r>
              <w:rPr>
                <w:sz w:val="19"/>
              </w:rPr>
            </w:r>
            <w:hyperlink r:id="rId21">
              <w:r>
                <w:rPr>
                  <w:color w:val="B87333"/>
                  <w:u w:val="single"/>
                </w:rPr>
                <w:t xml:space="preserve">#31</w:t>
              </w:r>
            </w:hyperlink>
          </w:p>
        </w:tc>
      </w:tr>
      <w:tr>
        <w:tc>
          <w:tcPr>
            <w:tcW w:type="dxa" w:w="3249"/>
            <w:shd w:val="clear" w:color="auto" w:fill="EEF2F7"/>
          </w:tcPr>
          <w:p>
            <w:pPr>
              <w:spacing w:after="20"/>
            </w:pPr>
            <w:r>
              <w:rPr>
                <w:sz w:val="19"/>
              </w:rPr>
            </w:r>
          </w:p>
        </w:tc>
        <w:tc>
          <w:tcPr>
            <w:tcW w:type="dxa" w:w="3249"/>
            <w:shd w:val="clear" w:color="auto" w:fill="EEF2F7"/>
          </w:tcPr>
          <w:p>
            <w:pPr>
              <w:spacing w:after="20"/>
            </w:pPr>
            <w:r>
              <w:rPr>
                <w:sz w:val="19"/>
              </w:rPr>
            </w:r>
            <w:r>
              <w:rPr>
                <w:sz w:val="19"/>
              </w:rPr>
              <w:t>Diseño de los 3 casos de prueba</w:t>
            </w:r>
          </w:p>
        </w:tc>
        <w:tc>
          <w:tcPr>
            <w:tcW w:type="dxa" w:w="3249"/>
            <w:shd w:val="clear" w:color="auto" w:fill="EEF2F7"/>
          </w:tcPr>
          <w:p>
            <w:pPr>
              <w:spacing w:after="20"/>
            </w:pPr>
            <w:r>
              <w:rPr>
                <w:sz w:val="19"/>
              </w:rPr>
            </w:r>
            <w:hyperlink r:id="rId22">
              <w:r>
                <w:rPr>
                  <w:color w:val="B87333"/>
                  <w:u w:val="single"/>
                </w:rPr>
                <w:t xml:space="preserve">#32</w:t>
              </w:r>
            </w:hyperlink>
          </w:p>
        </w:tc>
      </w:tr>
      <w:tr>
        <w:tc>
          <w:tcPr>
            <w:tcW w:type="dxa" w:w="3249"/>
          </w:tcPr>
          <w:p>
            <w:pPr>
              <w:spacing w:after="20"/>
            </w:pPr>
            <w:r>
              <w:rPr>
                <w:sz w:val="19"/>
              </w:rPr>
            </w:r>
            <w:r>
              <w:rPr>
                <w:sz w:val="19"/>
              </w:rPr>
              <w:t>S6 · 16–22 nov</w:t>
            </w:r>
          </w:p>
        </w:tc>
        <w:tc>
          <w:tcPr>
            <w:tcW w:type="dxa" w:w="3249"/>
          </w:tcPr>
          <w:p>
            <w:pPr>
              <w:spacing w:after="20"/>
            </w:pPr>
            <w:r>
              <w:rPr>
                <w:sz w:val="19"/>
              </w:rPr>
            </w:r>
            <w:r>
              <w:rPr>
                <w:sz w:val="19"/>
              </w:rPr>
              <w:t>Revisión 2: presentar diseño, flujos y datos (con Víctor)</w:t>
            </w:r>
          </w:p>
        </w:tc>
        <w:tc>
          <w:tcPr>
            <w:tcW w:type="dxa" w:w="3249"/>
          </w:tcPr>
          <w:p>
            <w:pPr>
              <w:spacing w:after="20"/>
            </w:pPr>
            <w:r>
              <w:rPr>
                <w:sz w:val="19"/>
              </w:rPr>
            </w:r>
            <w:hyperlink r:id="rId23">
              <w:r>
                <w:rPr>
                  <w:color w:val="B87333"/>
                  <w:u w:val="single"/>
                </w:rPr>
                <w:t xml:space="preserve">#33</w:t>
              </w:r>
            </w:hyperlink>
          </w:p>
        </w:tc>
      </w:tr>
      <w:tr>
        <w:tc>
          <w:tcPr>
            <w:tcW w:type="dxa" w:w="3249"/>
            <w:shd w:val="clear" w:color="auto" w:fill="EEF2F7"/>
          </w:tcPr>
          <w:p>
            <w:pPr>
              <w:spacing w:after="20"/>
            </w:pPr>
            <w:r>
              <w:rPr>
                <w:sz w:val="19"/>
              </w:rPr>
            </w:r>
            <w:r>
              <w:rPr>
                <w:sz w:val="19"/>
              </w:rPr>
              <w:t>S7 · 23–29 nov</w:t>
            </w:r>
          </w:p>
        </w:tc>
        <w:tc>
          <w:tcPr>
            <w:tcW w:type="dxa" w:w="3249"/>
            <w:shd w:val="clear" w:color="auto" w:fill="EEF2F7"/>
          </w:tcPr>
          <w:p>
            <w:pPr>
              <w:spacing w:after="20"/>
            </w:pPr>
            <w:r>
              <w:rPr>
                <w:sz w:val="19"/>
              </w:rPr>
            </w:r>
            <w:r>
              <w:rPr>
                <w:sz w:val="19"/>
              </w:rPr>
              <w:t>Incorporar observaciones (con Víctor) · arrancar la validación del diseño en operación experimental controlada el 24-nov</w:t>
            </w:r>
          </w:p>
        </w:tc>
        <w:tc>
          <w:tcPr>
            <w:tcW w:type="dxa" w:w="3249"/>
            <w:shd w:val="clear" w:color="auto" w:fill="EEF2F7"/>
          </w:tcPr>
          <w:p>
            <w:pPr>
              <w:spacing w:after="20"/>
            </w:pPr>
            <w:r>
              <w:rPr>
                <w:sz w:val="19"/>
              </w:rPr>
            </w:r>
            <w:hyperlink r:id="rId24">
              <w:r>
                <w:rPr>
                  <w:color w:val="B87333"/>
                  <w:u w:val="single"/>
                </w:rPr>
                <w:t xml:space="preserve">#35</w:t>
              </w:r>
            </w:hyperlink>
            <w:r>
              <w:rPr>
                <w:sz w:val="19"/>
              </w:rPr>
              <w:t xml:space="preserve"> · </w:t>
            </w:r>
            <w:hyperlink r:id="rId25">
              <w:r>
                <w:rPr>
                  <w:color w:val="B87333"/>
                  <w:u w:val="single"/>
                </w:rPr>
                <w:t xml:space="preserve">#37</w:t>
              </w:r>
            </w:hyperlink>
          </w:p>
        </w:tc>
      </w:tr>
      <w:tr>
        <w:tc>
          <w:tcPr>
            <w:tcW w:type="dxa" w:w="3249"/>
          </w:tcPr>
          <w:p>
            <w:pPr>
              <w:spacing w:after="20"/>
            </w:pPr>
            <w:r>
              <w:rPr>
                <w:sz w:val="19"/>
              </w:rPr>
            </w:r>
            <w:r>
              <w:rPr>
                <w:sz w:val="19"/>
              </w:rPr>
              <w:t>S8 · 30 nov–6 dic</w:t>
            </w:r>
          </w:p>
        </w:tc>
        <w:tc>
          <w:tcPr>
            <w:tcW w:type="dxa" w:w="3249"/>
          </w:tcPr>
          <w:p>
            <w:pPr>
              <w:spacing w:after="20"/>
            </w:pPr>
            <w:r>
              <w:rPr>
                <w:sz w:val="19"/>
              </w:rPr>
            </w:r>
            <w:r>
              <w:rPr>
                <w:sz w:val="19"/>
              </w:rPr>
              <w:t>Herramientas elegidas y descartadas · modelo de datos · plantillas + spec del asistente · casos de prueba · manual</w:t>
            </w:r>
          </w:p>
        </w:tc>
        <w:tc>
          <w:tcPr>
            <w:tcW w:type="dxa" w:w="3249"/>
          </w:tcPr>
          <w:p>
            <w:pPr>
              <w:spacing w:after="20"/>
            </w:pPr>
            <w:r>
              <w:rPr>
                <w:sz w:val="19"/>
              </w:rPr>
            </w:r>
            <w:hyperlink r:id="rId26">
              <w:r>
                <w:rPr>
                  <w:color w:val="B87333"/>
                  <w:u w:val="single"/>
                </w:rPr>
                <w:t xml:space="preserve">#38</w:t>
              </w:r>
            </w:hyperlink>
            <w:r>
              <w:rPr>
                <w:sz w:val="19"/>
              </w:rPr>
              <w:t xml:space="preserve"> · </w:t>
            </w:r>
            <w:hyperlink r:id="rId27">
              <w:r>
                <w:rPr>
                  <w:color w:val="B87333"/>
                  <w:u w:val="single"/>
                </w:rPr>
                <w:t xml:space="preserve">#39</w:t>
              </w:r>
            </w:hyperlink>
            <w:r>
              <w:rPr>
                <w:sz w:val="19"/>
              </w:rPr>
              <w:t xml:space="preserve"> · </w:t>
            </w:r>
            <w:hyperlink r:id="rId28">
              <w:r>
                <w:rPr>
                  <w:color w:val="B87333"/>
                  <w:u w:val="single"/>
                </w:rPr>
                <w:t xml:space="preserve">#40</w:t>
              </w:r>
            </w:hyperlink>
            <w:r>
              <w:rPr>
                <w:sz w:val="19"/>
              </w:rPr>
              <w:t xml:space="preserve"> · </w:t>
            </w:r>
            <w:hyperlink r:id="rId29">
              <w:r>
                <w:rPr>
                  <w:color w:val="B87333"/>
                  <w:u w:val="single"/>
                </w:rPr>
                <w:t xml:space="preserve">#41</w:t>
              </w:r>
            </w:hyperlink>
            <w:r>
              <w:rPr>
                <w:sz w:val="19"/>
              </w:rPr>
              <w:t xml:space="preserve"> · </w:t>
            </w:r>
            <w:hyperlink r:id="rId30">
              <w:r>
                <w:rPr>
                  <w:color w:val="B87333"/>
                  <w:u w:val="single"/>
                </w:rPr>
                <w:t xml:space="preserve">#42</w:t>
              </w:r>
            </w:hyperlink>
          </w:p>
        </w:tc>
      </w:tr>
      <w:tr>
        <w:tc>
          <w:tcPr>
            <w:tcW w:type="dxa" w:w="3249"/>
            <w:shd w:val="clear" w:color="auto" w:fill="EEF2F7"/>
          </w:tcPr>
          <w:p>
            <w:pPr>
              <w:spacing w:after="20"/>
            </w:pPr>
            <w:r>
              <w:rPr>
                <w:sz w:val="19"/>
              </w:rPr>
            </w:r>
            <w:r>
              <w:rPr>
                <w:sz w:val="19"/>
              </w:rPr>
              <w:t>S9 · 7–13 dic</w:t>
            </w:r>
          </w:p>
        </w:tc>
        <w:tc>
          <w:tcPr>
            <w:tcW w:type="dxa" w:w="3249"/>
            <w:shd w:val="clear" w:color="auto" w:fill="EEF2F7"/>
          </w:tcPr>
          <w:p>
            <w:pPr>
              <w:spacing w:after="20"/>
            </w:pPr>
            <w:r>
              <w:rPr>
                <w:sz w:val="19"/>
              </w:rPr>
            </w:r>
            <w:r>
              <w:rPr>
                <w:sz w:val="19"/>
              </w:rPr>
              <w:t>Medición post (con Víctor) · pruebas de uso y de carga</w:t>
            </w:r>
          </w:p>
        </w:tc>
        <w:tc>
          <w:tcPr>
            <w:tcW w:type="dxa" w:w="3249"/>
            <w:shd w:val="clear" w:color="auto" w:fill="EEF2F7"/>
          </w:tcPr>
          <w:p>
            <w:pPr>
              <w:spacing w:after="20"/>
            </w:pPr>
            <w:r>
              <w:rPr>
                <w:sz w:val="19"/>
              </w:rPr>
            </w:r>
            <w:hyperlink r:id="rId31">
              <w:r>
                <w:rPr>
                  <w:color w:val="B87333"/>
                  <w:u w:val="single"/>
                </w:rPr>
                <w:t xml:space="preserve">#43</w:t>
              </w:r>
            </w:hyperlink>
            <w:r>
              <w:rPr>
                <w:sz w:val="19"/>
              </w:rPr>
              <w:t xml:space="preserve"> · </w:t>
            </w:r>
            <w:hyperlink r:id="rId32">
              <w:r>
                <w:rPr>
                  <w:color w:val="B87333"/>
                  <w:u w:val="single"/>
                </w:rPr>
                <w:t xml:space="preserve">#45</w:t>
              </w:r>
            </w:hyperlink>
          </w:p>
        </w:tc>
      </w:tr>
      <w:tr>
        <w:tc>
          <w:tcPr>
            <w:tcW w:type="dxa" w:w="3249"/>
          </w:tcPr>
          <w:p>
            <w:pPr>
              <w:spacing w:after="20"/>
            </w:pPr>
            <w:r>
              <w:rPr>
                <w:sz w:val="19"/>
              </w:rPr>
            </w:r>
            <w:r>
              <w:rPr>
                <w:sz w:val="19"/>
              </w:rPr>
              <w:t>S10 · 14–20 dic</w:t>
            </w:r>
          </w:p>
        </w:tc>
        <w:tc>
          <w:tcPr>
            <w:tcW w:type="dxa" w:w="3249"/>
          </w:tcPr>
          <w:p>
            <w:pPr>
              <w:spacing w:after="20"/>
            </w:pPr>
            <w:r>
              <w:rPr>
                <w:sz w:val="19"/>
              </w:rPr>
            </w:r>
            <w:r>
              <w:rPr>
                <w:sz w:val="19"/>
              </w:rPr>
              <w:t>Hito del 90 % (con Víctor)</w:t>
            </w:r>
          </w:p>
        </w:tc>
        <w:tc>
          <w:tcPr>
            <w:tcW w:type="dxa" w:w="3249"/>
          </w:tcPr>
          <w:p>
            <w:pPr>
              <w:spacing w:after="20"/>
            </w:pPr>
            <w:r>
              <w:rPr>
                <w:sz w:val="19"/>
              </w:rPr>
            </w:r>
            <w:hyperlink r:id="rId33">
              <w:r>
                <w:rPr>
                  <w:color w:val="B87333"/>
                  <w:u w:val="single"/>
                </w:rPr>
                <w:t xml:space="preserve">#47</w:t>
              </w:r>
            </w:hyperlink>
          </w:p>
        </w:tc>
      </w:tr>
      <w:tr>
        <w:tc>
          <w:tcPr>
            <w:tcW w:type="dxa" w:w="3249"/>
            <w:shd w:val="clear" w:color="auto" w:fill="EEF2F7"/>
          </w:tcPr>
          <w:p>
            <w:pPr>
              <w:spacing w:after="20"/>
            </w:pPr>
            <w:r>
              <w:rPr>
                <w:sz w:val="19"/>
              </w:rPr>
            </w:r>
            <w:r>
              <w:rPr>
                <w:sz w:val="19"/>
              </w:rPr>
              <w:t>Ene–feb</w:t>
            </w:r>
          </w:p>
        </w:tc>
        <w:tc>
          <w:tcPr>
            <w:tcW w:type="dxa" w:w="3249"/>
            <w:shd w:val="clear" w:color="auto" w:fill="EEF2F7"/>
          </w:tcPr>
          <w:p>
            <w:pPr>
              <w:spacing w:after="20"/>
            </w:pPr>
            <w:r>
              <w:rPr>
                <w:sz w:val="19"/>
              </w:rPr>
            </w:r>
            <w:r>
              <w:rPr>
                <w:sz w:val="19"/>
              </w:rPr>
              <w:t>Entrega, resumen de contribuciones, simulacros, defensa</w:t>
            </w:r>
          </w:p>
        </w:tc>
        <w:tc>
          <w:tcPr>
            <w:tcW w:type="dxa" w:w="3249"/>
            <w:shd w:val="clear" w:color="auto" w:fill="EEF2F7"/>
          </w:tcPr>
          <w:p>
            <w:pPr>
              <w:spacing w:after="20"/>
            </w:pPr>
            <w:r>
              <w:rPr>
                <w:sz w:val="19"/>
              </w:rPr>
            </w:r>
            <w:hyperlink r:id="rId34">
              <w:r>
                <w:rPr>
                  <w:color w:val="B87333"/>
                  <w:u w:val="single"/>
                </w:rPr>
                <w:t xml:space="preserve">#50</w:t>
              </w:r>
            </w:hyperlink>
            <w:r>
              <w:rPr>
                <w:sz w:val="19"/>
              </w:rPr>
              <w:t xml:space="preserve"> · </w:t>
            </w:r>
            <w:hyperlink r:id="rId35">
              <w:r>
                <w:rPr>
                  <w:color w:val="B87333"/>
                  <w:u w:val="single"/>
                </w:rPr>
                <w:t xml:space="preserve">#51</w:t>
              </w:r>
            </w:hyperlink>
            <w:r>
              <w:rPr>
                <w:sz w:val="19"/>
              </w:rPr>
              <w:t xml:space="preserve"> · </w:t>
            </w:r>
            <w:hyperlink r:id="rId36">
              <w:r>
                <w:rPr>
                  <w:color w:val="B87333"/>
                  <w:u w:val="single"/>
                </w:rPr>
                <w:t xml:space="preserve">#52</w:t>
              </w:r>
            </w:hyperlink>
            <w:r>
              <w:rPr>
                <w:sz w:val="19"/>
              </w:rPr>
              <w:t xml:space="preserve"> · </w:t>
            </w:r>
            <w:hyperlink r:id="rId37">
              <w:r>
                <w:rPr>
                  <w:color w:val="B87333"/>
                  <w:u w:val="single"/>
                </w:rPr>
                <w:t xml:space="preserve">#53</w:t>
              </w:r>
            </w:hyperlink>
          </w:p>
        </w:tc>
      </w:tr>
    </w:tbl>
    <w:p/>
    <w:p>
      <w:r>
        <w:rPr>
          <w:b/>
        </w:rPr>
        <w:t>Dependencias que te afectan:</w:t>
      </w:r>
    </w:p>
    <w:p>
      <w:pPr>
        <w:pStyle w:val="ListBullet"/>
      </w:pPr>
      <w:r>
        <w:rPr/>
        <w:t xml:space="preserve">No levantes la bóveda del sistema (#24) sin los flujos TO-BE </w:t>
      </w:r>
      <w:r>
        <w:rPr>
          <w:b/>
        </w:rPr>
        <w:t>aprobados</w:t>
      </w:r>
      <w:r>
        <w:rPr/>
        <w:t xml:space="preserve"> por Víctor (#22 → S4-02).</w:t>
      </w:r>
    </w:p>
    <w:p>
      <w:pPr>
        <w:pStyle w:val="ListBullet"/>
      </w:pPr>
      <w:r>
        <w:rPr/>
        <w:t>La PoC (#31) es requisito de la validación del diseño en operación experimental controlada (#37).</w:t>
      </w:r>
    </w:p>
    <w:p>
      <w:pPr>
        <w:pStyle w:val="Heading1"/>
        <w:pBdr>
          <w:bottom w:val="single" w:sz="10" w:space="4" w:color="B87333"/>
        </w:pBdr>
      </w:pPr>
      <w:r>
        <w:t>5. Reglas</w:t>
      </w:r>
    </w:p>
    <w:p>
      <w:pPr>
        <w:pStyle w:val="ListBullet"/>
      </w:pPr>
      <w:r>
        <w:rPr>
          <w:b/>
        </w:rPr>
        <w:t>Datos personales:</w:t>
      </w:r>
      <w:r>
        <w:rPr/>
        <w:t xml:space="preserve"> nunca en el repo. Nombres, teléfonos, correos, cédulas, audios y escaneos van a </w:t>
      </w:r>
      <w:r>
        <w:rPr>
          <w:rFonts w:ascii="Consolas" w:hAnsi="Consolas" w:cs="Consolas" w:eastAsia="Consolas"/>
          <w:color w:val="0B1F3A"/>
          <w:sz w:val="19"/>
        </w:rPr>
        <w:t>05_Datos_Campo/_crudo/</w:t>
      </w:r>
      <w:r>
        <w:rPr/>
        <w:t>, que Git ignora.</w:t>
      </w:r>
    </w:p>
    <w:p>
      <w:pPr>
        <w:pStyle w:val="ListBullet"/>
      </w:pPr>
      <w:r>
        <w:rPr>
          <w:b/>
        </w:rPr>
        <w:t>Antes de cada push con datos:</w:t>
      </w:r>
    </w:p>
    <w:p>
      <w:r>
        <w:rPr>
          <w:rFonts w:ascii="Consolas" w:hAnsi="Consolas" w:cs="Consolas" w:eastAsia="Consolas"/>
          <w:color w:val="0B1F3A"/>
          <w:sz w:val="19"/>
        </w:rPr>
        <w:t>``powershel</w:t>
      </w:r>
    </w:p>
    <w:p>
      <w:r>
        <w:rPr/>
        <w:t>&lt;tu-venv&gt;\Scripts\python.exe 99_Scripts\auditoria_pii.py    # debe decir: 0 hallazgos</w:t>
      </w:r>
    </w:p>
    <w:p>
      <w:r>
        <w:rPr>
          <w:rFonts w:ascii="Consolas" w:hAnsi="Consolas" w:cs="Consolas" w:eastAsia="Consolas"/>
          <w:color w:val="0B1F3A"/>
          <w:sz w:val="19"/>
        </w:rPr>
        <w:t>`</w:t>
      </w:r>
    </w:p>
    <w:p>
      <w:pPr>
        <w:pStyle w:val="ListBullet"/>
      </w:pPr>
      <w:r>
        <w:rPr>
          <w:b/>
        </w:rPr>
        <w:t>Nombres de archivo:</w:t>
      </w:r>
      <w:r>
        <w:rPr/>
        <w:t xml:space="preserve"> </w:t>
      </w:r>
      <w:r>
        <w:rPr>
          <w:rFonts w:ascii="Consolas" w:hAnsi="Consolas" w:cs="Consolas" w:eastAsia="Consolas"/>
          <w:color w:val="0B1F3A"/>
          <w:sz w:val="19"/>
        </w:rPr>
        <w:t>AAAA-MM-DD_tema_vX.Y.ext</w:t>
      </w:r>
      <w:r>
        <w:rPr/>
        <w:t xml:space="preserve">, por ejemplo </w:t>
      </w:r>
      <w:r>
        <w:rPr>
          <w:rFonts w:ascii="Consolas" w:hAnsi="Consolas" w:cs="Consolas" w:eastAsia="Consolas"/>
          <w:color w:val="0B1F3A"/>
          <w:sz w:val="19"/>
        </w:rPr>
        <w:t>2026-11-04_TO-BE_Proceso1_v0.1.md</w:t>
      </w:r>
      <w:r>
        <w:rPr/>
        <w:t>.</w:t>
      </w:r>
    </w:p>
    <w:p>
      <w:pPr>
        <w:pStyle w:val="ListBullet"/>
      </w:pPr>
      <w:r>
        <w:rPr>
          <w:b/>
        </w:rPr>
        <w:t>Commits:</w:t>
      </w:r>
      <w:r>
        <w:rPr/>
        <w:t xml:space="preserve"> </w:t>
      </w:r>
      <w:r>
        <w:rPr>
          <w:rFonts w:ascii="Consolas" w:hAnsi="Consolas" w:cs="Consolas" w:eastAsia="Consolas"/>
          <w:color w:val="0B1F3A"/>
          <w:sz w:val="19"/>
        </w:rPr>
        <w:t>ID: qué hiciste (#n)</w:t>
      </w:r>
      <w:r>
        <w:rPr/>
        <w:t xml:space="preserve">, por ejemplo </w:t>
      </w:r>
      <w:r>
        <w:rPr>
          <w:rFonts w:ascii="Consolas" w:hAnsi="Consolas" w:cs="Consolas" w:eastAsia="Consolas"/>
          <w:color w:val="0B1F3A"/>
          <w:sz w:val="19"/>
        </w:rPr>
        <w:t>S2-05: AS-IS en Mermaid (#17)</w:t>
      </w:r>
      <w:r>
        <w:rPr/>
        <w:t xml:space="preserve">. Con </w:t>
      </w:r>
      <w:r>
        <w:rPr>
          <w:rFonts w:ascii="Consolas" w:hAnsi="Consolas" w:cs="Consolas" w:eastAsia="Consolas"/>
          <w:color w:val="0B1F3A"/>
          <w:sz w:val="19"/>
        </w:rPr>
        <w:t>closes #n</w:t>
      </w:r>
      <w:r>
        <w:rPr/>
        <w:t xml:space="preserve"> se cierra el issue.</w:t>
      </w:r>
    </w:p>
    <w:p>
      <w:pPr>
        <w:pStyle w:val="ListBullet"/>
      </w:pPr>
      <w:r>
        <w:rPr>
          <w:b/>
        </w:rPr>
        <w:t>Uso de IA:</w:t>
      </w:r>
      <w:r>
        <w:rPr/>
        <w:t xml:space="preserve"> si una herramienta de IA te ayudó, ponlo en el commit (</w:t>
      </w:r>
      <w:r>
        <w:rPr>
          <w:rFonts w:ascii="Consolas" w:hAnsi="Consolas" w:cs="Consolas" w:eastAsia="Consolas"/>
          <w:color w:val="0B1F3A"/>
          <w:sz w:val="19"/>
        </w:rPr>
        <w:t>[IA: Claude]</w:t>
      </w:r>
      <w:r>
        <w:rPr/>
        <w:t xml:space="preserve">) y en </w:t>
      </w:r>
      <w:r>
        <w:rPr>
          <w:rFonts w:ascii="Consolas" w:hAnsi="Consolas" w:cs="Consolas" w:eastAsia="Consolas"/>
          <w:color w:val="0B1F3A"/>
          <w:sz w:val="19"/>
        </w:rPr>
        <w:t>09_Registro_Contribuciones</w:t>
      </w:r>
      <w:r>
        <w:rPr/>
        <w:t>. La tesis tiene que declararlo.</w:t>
      </w:r>
    </w:p>
    <w:p>
      <w:pPr>
        <w:pStyle w:val="ListBullet"/>
      </w:pPr>
      <w:r>
        <w:rPr>
          <w:b/>
        </w:rPr>
        <w:t>Nunca</w:t>
      </w:r>
      <w:r>
        <w:rPr/>
        <w:t xml:space="preserve"> </w:t>
      </w:r>
      <w:r>
        <w:rPr>
          <w:rFonts w:ascii="Consolas" w:hAnsi="Consolas" w:cs="Consolas" w:eastAsia="Consolas"/>
          <w:color w:val="0B1F3A"/>
          <w:sz w:val="19"/>
        </w:rPr>
        <w:t>git push --force</w:t>
      </w:r>
      <w:r>
        <w:rPr/>
        <w:t>, ni mover o renombrar carpetas de Víctor sin avisar.</w:t>
      </w:r>
    </w:p>
    <w:p>
      <w:pPr>
        <w:pStyle w:val="ListBullet"/>
      </w:pPr>
      <w:r>
        <w:rPr/>
        <w:t>Ejemplos con clientes: siempre ficticios o codificados (</w:t>
      </w:r>
      <w:r>
        <w:rPr>
          <w:rFonts w:ascii="Consolas" w:hAnsi="Consolas" w:cs="Consolas" w:eastAsia="Consolas"/>
          <w:color w:val="0B1F3A"/>
          <w:sz w:val="19"/>
        </w:rPr>
        <w:t>CLI-0001</w:t>
      </w:r>
      <w:r>
        <w:rPr/>
        <w:t>), nunca reales.</w:t>
      </w:r>
    </w:p>
    <w:p>
      <w:pPr>
        <w:pStyle w:val="Heading1"/>
        <w:pBdr>
          <w:bottom w:val="single" w:sz="10" w:space="4" w:color="B87333"/>
        </w:pBdr>
      </w:pPr>
      <w:r>
        <w:t>6. Cómo reportar avances</w:t>
      </w:r>
    </w:p>
    <w:p>
      <w:pPr>
        <w:pStyle w:val="ListNumber"/>
      </w:pPr>
      <w:r>
        <w:rPr>
          <w:b/>
        </w:rPr>
        <w:t>Durante la semana:</w:t>
      </w:r>
      <w:r>
        <w:rPr/>
        <w:t xml:space="preserve"> mueve tus issues en el tablero (Por hacer → En curso → En revisión → Hecho) y comenta en el issue lo que bloquee.</w:t>
      </w:r>
    </w:p>
    <w:p>
      <w:pPr>
        <w:pStyle w:val="ListNumber"/>
      </w:pPr>
      <w:r>
        <w:rPr>
          <w:b/>
        </w:rPr>
        <w:t>Al cerrar un entregable:</w:t>
      </w:r>
      <w:r>
        <w:rPr/>
        <w:t xml:space="preserve"> </w:t>
      </w:r>
      <w:r>
        <w:rPr>
          <w:rFonts w:ascii="Consolas" w:hAnsi="Consolas" w:cs="Consolas" w:eastAsia="Consolas"/>
          <w:color w:val="0B1F3A"/>
          <w:sz w:val="19"/>
        </w:rPr>
        <w:t>closes #n</w:t>
      </w:r>
      <w:r>
        <w:rPr/>
        <w:t xml:space="preserve"> en el commit + una fila en </w:t>
      </w:r>
      <w:r>
        <w:rPr>
          <w:rFonts w:ascii="Consolas" w:hAnsi="Consolas" w:cs="Consolas" w:eastAsia="Consolas"/>
          <w:color w:val="0B1F3A"/>
          <w:sz w:val="19"/>
        </w:rPr>
        <w:t>09_Registro_Contribuciones/Registro_Contribuciones.md</w:t>
      </w:r>
      <w:r>
        <w:rPr/>
        <w:t>.</w:t>
      </w:r>
    </w:p>
    <w:p>
      <w:pPr>
        <w:pStyle w:val="ListNumber"/>
      </w:pPr>
      <w:r>
        <w:rPr>
          <w:b/>
        </w:rPr>
        <w:t>Domingo, antes de las 21:00:</w:t>
      </w:r>
      <w:r>
        <w:rPr/>
        <w:t xml:space="preserve"> todo lo de la semana tiene que estar en </w:t>
      </w:r>
      <w:r>
        <w:rPr>
          <w:rFonts w:ascii="Consolas" w:hAnsi="Consolas" w:cs="Consolas" w:eastAsia="Consolas"/>
          <w:color w:val="0B1F3A"/>
          <w:sz w:val="19"/>
        </w:rPr>
        <w:t>main</w:t>
      </w:r>
      <w:r>
        <w:rPr/>
        <w:t>. A esa hora se genera el informe automático de avance (commits por autor, tareas cerradas y pendientes).</w:t>
      </w:r>
    </w:p>
    <w:p>
      <w:pPr>
        <w:pStyle w:val="ListNumber"/>
      </w:pPr>
      <w:r>
        <w:rPr>
          <w:b/>
        </w:rPr>
        <w:t>Bloqueos urgentes:</w:t>
      </w:r>
      <w:r>
        <w:rPr/>
        <w:t xml:space="preserve"> WhatsApp a Víctor, y luego deja el registro en el issue.</w:t>
      </w:r>
    </w:p>
    <w:p>
      <w:pPr>
        <w:pStyle w:val="Heading1"/>
        <w:pBdr>
          <w:bottom w:val="single" w:sz="10" w:space="4" w:color="B87333"/>
        </w:pBdr>
      </w:pPr>
      <w:r>
        <w:t>7. A quién preguntar qué</w:t>
      </w:r>
    </w:p>
    <w:tbl>
      <w:tblPr>
        <w:tblStyle w:val="TableGrid"/>
        <w:tblW w:type="auto" w:w="0"/>
        <w:jc w:val="center"/>
        <w:tblLook w:firstColumn="1" w:firstRow="1" w:lastColumn="0" w:lastRow="0" w:noHBand="0" w:noVBand="1" w:val="04A0"/>
        <w:tblBorders>
          <w:top w:val="single" w:sz="4" w:color="B87333"/>
          <w:left w:val="single" w:sz="4" w:color="B87333"/>
          <w:bottom w:val="single" w:sz="4" w:color="B87333"/>
          <w:right w:val="single" w:sz="4" w:color="B87333"/>
          <w:insideH w:val="single" w:sz="4" w:color="C9A27E"/>
          <w:insideV w:val="single" w:sz="4" w:color="C9A27E"/>
        </w:tblBorders>
      </w:tblPr>
      <w:tblGrid>
        <w:gridCol w:w="4873"/>
        <w:gridCol w:w="4873"/>
      </w:tblGrid>
      <w:tr>
        <w:tc>
          <w:tcPr>
            <w:tcW w:type="dxa" w:w="4873"/>
            <w:shd w:val="clear" w:color="auto" w:fill="0B1F3A"/>
          </w:tcPr>
          <w:p>
            <w:pPr>
              <w:spacing w:after="20"/>
            </w:pPr>
            <w:r/>
            <w:r>
              <w:rPr>
                <w:rFonts w:ascii="Poppins" w:hAnsi="Poppins" w:cs="Poppins" w:eastAsia="Poppins"/>
                <w:b/>
                <w:color w:val="FFFFFF"/>
                <w:sz w:val="19"/>
              </w:rPr>
              <w:t>Tema</w:t>
            </w:r>
          </w:p>
        </w:tc>
        <w:tc>
          <w:tcPr>
            <w:tcW w:type="dxa" w:w="4873"/>
            <w:shd w:val="clear" w:color="auto" w:fill="0B1F3A"/>
          </w:tcPr>
          <w:p>
            <w:pPr>
              <w:spacing w:after="20"/>
            </w:pPr>
            <w:r/>
            <w:r>
              <w:rPr>
                <w:rFonts w:ascii="Poppins" w:hAnsi="Poppins" w:cs="Poppins" w:eastAsia="Poppins"/>
                <w:b/>
                <w:color w:val="FFFFFF"/>
                <w:sz w:val="19"/>
              </w:rPr>
              <w:t>Pregunta a</w:t>
            </w:r>
          </w:p>
        </w:tc>
      </w:tr>
      <w:tr>
        <w:tc>
          <w:tcPr>
            <w:tcW w:type="dxa" w:w="4873"/>
          </w:tcPr>
          <w:p>
            <w:pPr>
              <w:spacing w:after="20"/>
            </w:pPr>
            <w:r>
              <w:rPr>
                <w:sz w:val="19"/>
              </w:rPr>
            </w:r>
            <w:r>
              <w:rPr>
                <w:sz w:val="19"/>
              </w:rPr>
              <w:t>Qué dice el diseño aprobado, alcance, metas, tutora, Torvesa, permisos</w:t>
            </w:r>
          </w:p>
        </w:tc>
        <w:tc>
          <w:tcPr>
            <w:tcW w:type="dxa" w:w="4873"/>
          </w:tcPr>
          <w:p>
            <w:pPr>
              <w:spacing w:after="20"/>
            </w:pPr>
            <w:r>
              <w:rPr>
                <w:sz w:val="19"/>
              </w:rPr>
            </w:r>
            <w:r>
              <w:rPr>
                <w:sz w:val="19"/>
              </w:rPr>
              <w:t>Víctor</w:t>
            </w:r>
          </w:p>
        </w:tc>
      </w:tr>
      <w:tr>
        <w:tc>
          <w:tcPr>
            <w:tcW w:type="dxa" w:w="4873"/>
            <w:shd w:val="clear" w:color="auto" w:fill="EEF2F7"/>
          </w:tcPr>
          <w:p>
            <w:pPr>
              <w:spacing w:after="20"/>
            </w:pPr>
            <w:r>
              <w:rPr>
                <w:sz w:val="19"/>
              </w:rPr>
            </w:r>
            <w:r>
              <w:rPr>
                <w:sz w:val="19"/>
              </w:rPr>
              <w:t>Fuentes, APA, instrumentos, consentimientos</w:t>
            </w:r>
          </w:p>
        </w:tc>
        <w:tc>
          <w:tcPr>
            <w:tcW w:type="dxa" w:w="4873"/>
            <w:shd w:val="clear" w:color="auto" w:fill="EEF2F7"/>
          </w:tcPr>
          <w:p>
            <w:pPr>
              <w:spacing w:after="20"/>
            </w:pPr>
            <w:r>
              <w:rPr>
                <w:sz w:val="19"/>
              </w:rPr>
            </w:r>
            <w:r>
              <w:rPr>
                <w:sz w:val="19"/>
              </w:rPr>
              <w:t>Víctor</w:t>
            </w:r>
          </w:p>
        </w:tc>
      </w:tr>
      <w:tr>
        <w:tc>
          <w:tcPr>
            <w:tcW w:type="dxa" w:w="4873"/>
          </w:tcPr>
          <w:p>
            <w:pPr>
              <w:spacing w:after="20"/>
            </w:pPr>
            <w:r>
              <w:rPr>
                <w:sz w:val="19"/>
              </w:rPr>
            </w:r>
            <w:r>
              <w:rPr>
                <w:sz w:val="19"/>
              </w:rPr>
              <w:t>Git, RAG, scripts, bóveda del sistema, flujos, PoC</w:t>
            </w:r>
          </w:p>
        </w:tc>
        <w:tc>
          <w:tcPr>
            <w:tcW w:type="dxa" w:w="4873"/>
          </w:tcPr>
          <w:p>
            <w:pPr>
              <w:spacing w:after="20"/>
            </w:pPr>
            <w:r>
              <w:rPr>
                <w:sz w:val="19"/>
              </w:rPr>
            </w:r>
            <w:r>
              <w:rPr>
                <w:sz w:val="19"/>
              </w:rPr>
              <w:t>tú decides; consulta a Víctor si cambia el alcance</w:t>
            </w:r>
          </w:p>
        </w:tc>
      </w:tr>
      <w:tr>
        <w:tc>
          <w:tcPr>
            <w:tcW w:type="dxa" w:w="4873"/>
            <w:shd w:val="clear" w:color="auto" w:fill="EEF2F7"/>
          </w:tcPr>
          <w:p>
            <w:pPr>
              <w:spacing w:after="20"/>
            </w:pPr>
            <w:r>
              <w:rPr>
                <w:sz w:val="19"/>
              </w:rPr>
            </w:r>
            <w:r>
              <w:rPr>
                <w:sz w:val="19"/>
              </w:rPr>
              <w:t>Datos de campo: ¿esto es dato personal?</w:t>
            </w:r>
          </w:p>
        </w:tc>
        <w:tc>
          <w:tcPr>
            <w:tcW w:type="dxa" w:w="4873"/>
            <w:shd w:val="clear" w:color="auto" w:fill="EEF2F7"/>
          </w:tcPr>
          <w:p>
            <w:pPr>
              <w:spacing w:after="20"/>
            </w:pPr>
            <w:r>
              <w:rPr>
                <w:sz w:val="19"/>
              </w:rPr>
            </w:r>
            <w:r>
              <w:rPr>
                <w:sz w:val="19"/>
              </w:rPr>
              <w:t xml:space="preserve">ante la duda, </w:t>
            </w:r>
            <w:r>
              <w:rPr>
                <w:b/>
                <w:sz w:val="19"/>
              </w:rPr>
              <w:t>es</w:t>
            </w:r>
            <w:r>
              <w:rPr>
                <w:sz w:val="19"/>
              </w:rPr>
              <w:t xml:space="preserve">: va a </w:t>
            </w:r>
            <w:r>
              <w:rPr>
                <w:rFonts w:ascii="Consolas" w:hAnsi="Consolas" w:cs="Consolas" w:eastAsia="Consolas"/>
                <w:color w:val="0B1F3A"/>
                <w:sz w:val="19"/>
              </w:rPr>
              <w:t>_crudo/</w:t>
            </w:r>
            <w:r>
              <w:rPr>
                <w:sz w:val="19"/>
              </w:rPr>
              <w:t xml:space="preserve"> y se le pregunta a Víctor</w:t>
            </w:r>
          </w:p>
        </w:tc>
      </w:tr>
      <w:tr>
        <w:tc>
          <w:tcPr>
            <w:tcW w:type="dxa" w:w="4873"/>
          </w:tcPr>
          <w:p>
            <w:pPr>
              <w:spacing w:after="20"/>
            </w:pPr>
            <w:r>
              <w:rPr>
                <w:sz w:val="19"/>
              </w:rPr>
            </w:r>
            <w:r>
              <w:rPr>
                <w:sz w:val="19"/>
              </w:rPr>
              <w:t>Algo del sistema de la bóveda (lanzadores, respaldos)</w:t>
            </w:r>
          </w:p>
        </w:tc>
        <w:tc>
          <w:tcPr>
            <w:tcW w:type="dxa" w:w="4873"/>
          </w:tcPr>
          <w:p>
            <w:pPr>
              <w:spacing w:after="20"/>
            </w:pPr>
            <w:r>
              <w:rPr>
                <w:sz w:val="19"/>
              </w:rPr>
            </w:r>
            <w:r>
              <w:rPr>
                <w:rFonts w:ascii="Consolas" w:hAnsi="Consolas" w:cs="Consolas" w:eastAsia="Consolas"/>
                <w:color w:val="0B1F3A"/>
                <w:sz w:val="19"/>
              </w:rPr>
              <w:t>ARRANQUE.md</w:t>
            </w:r>
          </w:p>
        </w:tc>
      </w:tr>
    </w:tbl>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ato" w:hAnsi="Lato" w:cs="Lato" w:eastAsia="Lato"/>
        <w:color w:val="555E6B"/>
        <w:sz w:val="16"/>
      </w:rPr>
      <w:t xml:space="preserve">Guía de Diego  ·  Tesis Torvesa · UPS  ·  pág. </w:t>
    </w:r>
    <w:r>
      <w:rPr>
        <w:color w:val="555E6B"/>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Lato" w:hAnsi="Lato" w:eastAsia="Lato"/>
      <w:color w:val="222A3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Poppins" w:hAnsi="Poppins" w:cs="Poppins"/>
      <w:b/>
      <w:bCs/>
      <w:color w:val="0B1F3A"/>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Poppins" w:hAnsi="Poppins" w:cs="Poppins"/>
      <w:b/>
      <w:bCs/>
      <w:color w:val="B87333"/>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Poppins" w:hAnsi="Poppins" w:cs="Poppins"/>
      <w:b/>
      <w:bCs/>
      <w:color w:val="0B1F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Lato" w:hAnsi="Lato"/>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Lato" w:hAnsi="Lato"/>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l333x/Tesis_Torvesa/invitations" TargetMode="External"/><Relationship Id="rId11" Type="http://schemas.openxmlformats.org/officeDocument/2006/relationships/hyperlink" Target="https://github.com/l333x/Tesis_Torvesa/issues/9" TargetMode="External"/><Relationship Id="rId12" Type="http://schemas.openxmlformats.org/officeDocument/2006/relationships/hyperlink" Target="https://github.com/l333x/Tesis_Torvesa/issues/10" TargetMode="External"/><Relationship Id="rId13" Type="http://schemas.openxmlformats.org/officeDocument/2006/relationships/hyperlink" Target="https://github.com/l333x/Tesis_Torvesa/issues/11" TargetMode="External"/><Relationship Id="rId14" Type="http://schemas.openxmlformats.org/officeDocument/2006/relationships/hyperlink" Target="https://github.com/l333x/Tesis_Torvesa/issues/12" TargetMode="External"/><Relationship Id="rId15" Type="http://schemas.openxmlformats.org/officeDocument/2006/relationships/hyperlink" Target="https://github.com/l333x/Tesis_Torvesa/issues/16" TargetMode="External"/><Relationship Id="rId16" Type="http://schemas.openxmlformats.org/officeDocument/2006/relationships/hyperlink" Target="https://github.com/l333x/Tesis_Torvesa/issues/17" TargetMode="External"/><Relationship Id="rId17" Type="http://schemas.openxmlformats.org/officeDocument/2006/relationships/hyperlink" Target="https://github.com/l333x/Tesis_Torvesa/issues/18" TargetMode="External"/><Relationship Id="rId18" Type="http://schemas.openxmlformats.org/officeDocument/2006/relationships/hyperlink" Target="https://github.com/l333x/Tesis_Torvesa/issues/21" TargetMode="External"/><Relationship Id="rId19" Type="http://schemas.openxmlformats.org/officeDocument/2006/relationships/hyperlink" Target="https://github.com/l333x/Tesis_Torvesa/issues/22" TargetMode="External"/><Relationship Id="rId20" Type="http://schemas.openxmlformats.org/officeDocument/2006/relationships/hyperlink" Target="https://github.com/l333x/Tesis_Torvesa/issues/24" TargetMode="External"/><Relationship Id="rId21" Type="http://schemas.openxmlformats.org/officeDocument/2006/relationships/hyperlink" Target="https://github.com/l333x/Tesis_Torvesa/issues/31" TargetMode="External"/><Relationship Id="rId22" Type="http://schemas.openxmlformats.org/officeDocument/2006/relationships/hyperlink" Target="https://github.com/l333x/Tesis_Torvesa/issues/32" TargetMode="External"/><Relationship Id="rId23" Type="http://schemas.openxmlformats.org/officeDocument/2006/relationships/hyperlink" Target="https://github.com/l333x/Tesis_Torvesa/issues/33" TargetMode="External"/><Relationship Id="rId24" Type="http://schemas.openxmlformats.org/officeDocument/2006/relationships/hyperlink" Target="https://github.com/l333x/Tesis_Torvesa/issues/35" TargetMode="External"/><Relationship Id="rId25" Type="http://schemas.openxmlformats.org/officeDocument/2006/relationships/hyperlink" Target="https://github.com/l333x/Tesis_Torvesa/issues/37" TargetMode="External"/><Relationship Id="rId26" Type="http://schemas.openxmlformats.org/officeDocument/2006/relationships/hyperlink" Target="https://github.com/l333x/Tesis_Torvesa/issues/38" TargetMode="External"/><Relationship Id="rId27" Type="http://schemas.openxmlformats.org/officeDocument/2006/relationships/hyperlink" Target="https://github.com/l333x/Tesis_Torvesa/issues/39" TargetMode="External"/><Relationship Id="rId28" Type="http://schemas.openxmlformats.org/officeDocument/2006/relationships/hyperlink" Target="https://github.com/l333x/Tesis_Torvesa/issues/40" TargetMode="External"/><Relationship Id="rId29" Type="http://schemas.openxmlformats.org/officeDocument/2006/relationships/hyperlink" Target="https://github.com/l333x/Tesis_Torvesa/issues/41" TargetMode="External"/><Relationship Id="rId30" Type="http://schemas.openxmlformats.org/officeDocument/2006/relationships/hyperlink" Target="https://github.com/l333x/Tesis_Torvesa/issues/42" TargetMode="External"/><Relationship Id="rId31" Type="http://schemas.openxmlformats.org/officeDocument/2006/relationships/hyperlink" Target="https://github.com/l333x/Tesis_Torvesa/issues/43" TargetMode="External"/><Relationship Id="rId32" Type="http://schemas.openxmlformats.org/officeDocument/2006/relationships/hyperlink" Target="https://github.com/l333x/Tesis_Torvesa/issues/45" TargetMode="External"/><Relationship Id="rId33" Type="http://schemas.openxmlformats.org/officeDocument/2006/relationships/hyperlink" Target="https://github.com/l333x/Tesis_Torvesa/issues/47" TargetMode="External"/><Relationship Id="rId34" Type="http://schemas.openxmlformats.org/officeDocument/2006/relationships/hyperlink" Target="https://github.com/l333x/Tesis_Torvesa/issues/50" TargetMode="External"/><Relationship Id="rId35" Type="http://schemas.openxmlformats.org/officeDocument/2006/relationships/hyperlink" Target="https://github.com/l333x/Tesis_Torvesa/issues/51" TargetMode="External"/><Relationship Id="rId36" Type="http://schemas.openxmlformats.org/officeDocument/2006/relationships/hyperlink" Target="https://github.com/l333x/Tesis_Torvesa/issues/52" TargetMode="External"/><Relationship Id="rId37" Type="http://schemas.openxmlformats.org/officeDocument/2006/relationships/hyperlink" Target="https://github.com/l333x/Tesis_Torvesa/issues/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